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0288" behindDoc="1" locked="0" layoutInCell="1" allowOverlap="1">
            <wp:simplePos x="0" y="0"/>
            <wp:positionH relativeFrom="column">
              <wp:posOffset>-1172845</wp:posOffset>
            </wp:positionH>
            <wp:positionV relativeFrom="paragraph">
              <wp:posOffset>-965200</wp:posOffset>
            </wp:positionV>
            <wp:extent cx="7626985" cy="10784840"/>
            <wp:effectExtent l="0" t="0" r="8255" b="5080"/>
            <wp:wrapNone/>
            <wp:docPr id="1" name="图片 1" descr="C:\Users\mumumu\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umumu\Desktop\图片1.png图片1"/>
                    <pic:cNvPicPr>
                      <a:picLocks noChangeAspect="1"/>
                    </pic:cNvPicPr>
                  </pic:nvPicPr>
                  <pic:blipFill>
                    <a:blip r:embed="rId4"/>
                    <a:srcRect/>
                    <a:stretch>
                      <a:fillRect/>
                    </a:stretch>
                  </pic:blipFill>
                  <pic:spPr>
                    <a:xfrm>
                      <a:off x="0" y="0"/>
                      <a:ext cx="7626985" cy="10784840"/>
                    </a:xfrm>
                    <a:prstGeom prst="rect">
                      <a:avLst/>
                    </a:prstGeom>
                  </pic:spPr>
                </pic:pic>
              </a:graphicData>
            </a:graphic>
          </wp:anchor>
        </w:drawing>
      </w:r>
    </w:p>
    <w:p>
      <w:pPr>
        <w:jc w:val="center"/>
        <w:rPr>
          <w:rFonts w:hint="eastAsia" w:ascii="微软雅黑" w:hAnsi="微软雅黑" w:eastAsia="微软雅黑" w:cs="微软雅黑"/>
          <w:b/>
          <w:bCs/>
          <w:i w:val="0"/>
          <w:iCs w:val="0"/>
          <w:caps w:val="0"/>
          <w:color w:val="000000"/>
          <w:spacing w:val="0"/>
          <w:sz w:val="32"/>
          <w:szCs w:val="32"/>
          <w:shd w:val="clear" w:fill="FFFFFF"/>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51661312" behindDoc="0" locked="0" layoutInCell="1" allowOverlap="1">
                <wp:simplePos x="0" y="0"/>
                <wp:positionH relativeFrom="column">
                  <wp:posOffset>1858010</wp:posOffset>
                </wp:positionH>
                <wp:positionV relativeFrom="paragraph">
                  <wp:posOffset>8311515</wp:posOffset>
                </wp:positionV>
                <wp:extent cx="2537460" cy="487680"/>
                <wp:effectExtent l="0" t="0" r="0" b="0"/>
                <wp:wrapNone/>
                <wp:docPr id="42" name="文本框 41"/>
                <wp:cNvGraphicFramePr/>
                <a:graphic xmlns:a="http://schemas.openxmlformats.org/drawingml/2006/main">
                  <a:graphicData uri="http://schemas.microsoft.com/office/word/2010/wordprocessingShape">
                    <wps:wsp>
                      <wps:cNvSpPr txBox="1"/>
                      <wps:spPr>
                        <a:xfrm>
                          <a:off x="5500370" y="9772015"/>
                          <a:ext cx="2537460" cy="487680"/>
                        </a:xfrm>
                        <a:prstGeom prst="rect">
                          <a:avLst/>
                        </a:prstGeom>
                        <a:noFill/>
                      </wps:spPr>
                      <wps:txbx>
                        <w:txbxContent>
                          <w:p>
                            <w:pPr>
                              <w:pStyle w:val="2"/>
                              <w:keepNext w:val="0"/>
                              <w:keepLines w:val="0"/>
                              <w:pageBreakBefore w:val="0"/>
                              <w:widowControl w:val="0"/>
                              <w:kinsoku/>
                              <w:wordWrap/>
                              <w:overflowPunct/>
                              <w:topLinePunct w:val="0"/>
                              <w:autoSpaceDE/>
                              <w:autoSpaceDN/>
                              <w:bidi w:val="0"/>
                              <w:adjustRightInd/>
                              <w:snapToGrid w:val="0"/>
                              <w:spacing w:line="240" w:lineRule="auto"/>
                              <w:ind w:left="0" w:firstLine="402" w:firstLineChars="100"/>
                              <w:jc w:val="left"/>
                              <w:textAlignment w:val="auto"/>
                              <w:rPr>
                                <w:rFonts w:hint="eastAsia" w:ascii="黑体" w:hAnsi="黑体" w:eastAsia="黑体" w:cs="黑体"/>
                                <w:b/>
                                <w:bCs/>
                                <w:color w:val="FFFFFF" w:themeColor="background1"/>
                                <w:sz w:val="40"/>
                                <w:szCs w:val="40"/>
                                <w:lang w:val="en-US" w:eastAsia="zh-CN"/>
                                <w14:textFill>
                                  <w14:solidFill>
                                    <w14:schemeClr w14:val="bg1"/>
                                  </w14:solidFill>
                                </w14:textFill>
                              </w:rPr>
                            </w:pPr>
                            <w:r>
                              <w:rPr>
                                <w:rFonts w:hint="eastAsia" w:ascii="黑体" w:hAnsi="黑体" w:eastAsia="黑体" w:cs="黑体"/>
                                <w:b/>
                                <w:bCs/>
                                <w:color w:val="FFFFFF" w:themeColor="background1"/>
                                <w:sz w:val="40"/>
                                <w:szCs w:val="40"/>
                                <w:lang w:val="en-US" w:eastAsia="zh-CN"/>
                                <w14:textFill>
                                  <w14:solidFill>
                                    <w14:schemeClr w14:val="bg1"/>
                                  </w14:solidFill>
                                </w14:textFill>
                              </w:rPr>
                              <w:t>2023.02</w:t>
                            </w:r>
                          </w:p>
                        </w:txbxContent>
                      </wps:txbx>
                      <wps:bodyPr wrap="square" rtlCol="0">
                        <a:spAutoFit/>
                      </wps:bodyPr>
                    </wps:wsp>
                  </a:graphicData>
                </a:graphic>
              </wp:anchor>
            </w:drawing>
          </mc:Choice>
          <mc:Fallback>
            <w:pict>
              <v:shape id="文本框 41" o:spid="_x0000_s1026" o:spt="202" type="#_x0000_t202" style="position:absolute;left:0pt;margin-left:146.3pt;margin-top:654.45pt;height:38.4pt;width:199.8pt;z-index:251661312;mso-width-relative:page;mso-height-relative:page;" filled="f" stroked="f" coordsize="21600,21600" o:gfxdata="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vmJkl2QAAAA0BAAAPAAAAAAAAAAEAIAAAACIAAABkcnMv&#10;ZG93bnJldi54bWxQSwECFAAUAAAACACHTuJALZkgXckBAABrAwAADgAAAAAAAAABACAAAAAoAQAA&#10;ZHJzL2Uyb0RvYy54bWxQSwUGAAAAAAYABgBZAQAAYwUAAAAA&#10;">
                <v:fill on="f" focussize="0,0"/>
                <v:stroke on="f"/>
                <v:imagedata o:title=""/>
                <o:lock v:ext="edit" aspectratio="f"/>
                <v:textbox style="mso-fit-shape-to-text:t;">
                  <w:txbxContent>
                    <w:p>
                      <w:pPr>
                        <w:pStyle w:val="2"/>
                        <w:keepNext w:val="0"/>
                        <w:keepLines w:val="0"/>
                        <w:pageBreakBefore w:val="0"/>
                        <w:widowControl w:val="0"/>
                        <w:kinsoku/>
                        <w:wordWrap/>
                        <w:overflowPunct/>
                        <w:topLinePunct w:val="0"/>
                        <w:autoSpaceDE/>
                        <w:autoSpaceDN/>
                        <w:bidi w:val="0"/>
                        <w:adjustRightInd/>
                        <w:snapToGrid w:val="0"/>
                        <w:spacing w:line="240" w:lineRule="auto"/>
                        <w:ind w:left="0" w:firstLine="402" w:firstLineChars="100"/>
                        <w:jc w:val="left"/>
                        <w:textAlignment w:val="auto"/>
                        <w:rPr>
                          <w:rFonts w:hint="eastAsia" w:ascii="黑体" w:hAnsi="黑体" w:eastAsia="黑体" w:cs="黑体"/>
                          <w:b/>
                          <w:bCs/>
                          <w:color w:val="FFFFFF" w:themeColor="background1"/>
                          <w:sz w:val="40"/>
                          <w:szCs w:val="40"/>
                          <w:lang w:val="en-US" w:eastAsia="zh-CN"/>
                          <w14:textFill>
                            <w14:solidFill>
                              <w14:schemeClr w14:val="bg1"/>
                            </w14:solidFill>
                          </w14:textFill>
                        </w:rPr>
                      </w:pPr>
                      <w:r>
                        <w:rPr>
                          <w:rFonts w:hint="eastAsia" w:ascii="黑体" w:hAnsi="黑体" w:eastAsia="黑体" w:cs="黑体"/>
                          <w:b/>
                          <w:bCs/>
                          <w:color w:val="FFFFFF" w:themeColor="background1"/>
                          <w:sz w:val="40"/>
                          <w:szCs w:val="40"/>
                          <w:lang w:val="en-US" w:eastAsia="zh-CN"/>
                          <w14:textFill>
                            <w14:solidFill>
                              <w14:schemeClr w14:val="bg1"/>
                            </w14:solidFill>
                          </w14:textFill>
                        </w:rPr>
                        <w:t>2023.02</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-798195</wp:posOffset>
                </wp:positionH>
                <wp:positionV relativeFrom="paragraph">
                  <wp:posOffset>1560830</wp:posOffset>
                </wp:positionV>
                <wp:extent cx="6857365" cy="2072640"/>
                <wp:effectExtent l="0" t="0" r="0" b="0"/>
                <wp:wrapNone/>
                <wp:docPr id="6" name="文本框 5"/>
                <wp:cNvGraphicFramePr/>
                <a:graphic xmlns:a="http://schemas.openxmlformats.org/drawingml/2006/main">
                  <a:graphicData uri="http://schemas.microsoft.com/office/word/2010/wordprocessingShape">
                    <wps:wsp>
                      <wps:cNvSpPr txBox="1"/>
                      <wps:spPr>
                        <a:xfrm>
                          <a:off x="516255" y="2993390"/>
                          <a:ext cx="6857365" cy="2072640"/>
                        </a:xfrm>
                        <a:prstGeom prst="rect">
                          <a:avLst/>
                        </a:prstGeom>
                        <a:noFill/>
                      </wps:spPr>
                      <wps:txbx>
                        <w:txbxContent>
                          <w:p>
                            <w:pPr>
                              <w:pStyle w:val="2"/>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微软雅黑" w:hAnsi="微软雅黑" w:eastAsia="微软雅黑" w:cs="微软雅黑"/>
                                <w:b/>
                                <w:bCs/>
                                <w:color w:val="FFFFFF" w:themeColor="background1"/>
                                <w:kern w:val="24"/>
                                <w:sz w:val="72"/>
                                <w:szCs w:val="72"/>
                                <w:lang w:val="en-US" w:eastAsia="zh-CN"/>
                                <w14:textFill>
                                  <w14:solidFill>
                                    <w14:schemeClr w14:val="bg1"/>
                                  </w14:solidFill>
                                </w14:textFill>
                              </w:rPr>
                            </w:pPr>
                            <w:r>
                              <w:rPr>
                                <w:rFonts w:hint="eastAsia" w:ascii="微软雅黑" w:hAnsi="微软雅黑" w:eastAsia="微软雅黑" w:cs="微软雅黑"/>
                                <w:b/>
                                <w:bCs/>
                                <w:color w:val="FFFFFF" w:themeColor="background1"/>
                                <w:kern w:val="24"/>
                                <w:sz w:val="72"/>
                                <w:szCs w:val="72"/>
                                <w:lang w:val="en-US" w:eastAsia="zh-CN"/>
                                <w14:textFill>
                                  <w14:solidFill>
                                    <w14:schemeClr w14:val="bg1"/>
                                  </w14:solidFill>
                                </w14:textFill>
                              </w:rPr>
                              <w:t xml:space="preserve"> 江西省金融和重要领域</w:t>
                            </w:r>
                          </w:p>
                          <w:p>
                            <w:pPr>
                              <w:pStyle w:val="2"/>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微软雅黑" w:hAnsi="微软雅黑" w:eastAsia="微软雅黑" w:cs="微软雅黑"/>
                                <w:b/>
                                <w:bCs/>
                                <w:color w:val="FFFFFF" w:themeColor="background1"/>
                                <w:kern w:val="24"/>
                                <w:sz w:val="72"/>
                                <w:szCs w:val="72"/>
                                <w:lang w:val="en-US" w:eastAsia="zh-CN"/>
                                <w14:textFill>
                                  <w14:solidFill>
                                    <w14:schemeClr w14:val="bg1"/>
                                  </w14:solidFill>
                                </w14:textFill>
                              </w:rPr>
                            </w:pPr>
                            <w:r>
                              <w:rPr>
                                <w:rFonts w:hint="eastAsia" w:ascii="微软雅黑" w:hAnsi="微软雅黑" w:eastAsia="微软雅黑" w:cs="微软雅黑"/>
                                <w:b/>
                                <w:bCs/>
                                <w:color w:val="FFFFFF" w:themeColor="background1"/>
                                <w:kern w:val="24"/>
                                <w:sz w:val="72"/>
                                <w:szCs w:val="72"/>
                                <w:lang w:val="en-US" w:eastAsia="zh-CN"/>
                                <w14:textFill>
                                  <w14:solidFill>
                                    <w14:schemeClr w14:val="bg1"/>
                                  </w14:solidFill>
                                </w14:textFill>
                              </w:rPr>
                              <w:t>“十四五”规划中的密码要求</w:t>
                            </w:r>
                          </w:p>
                        </w:txbxContent>
                      </wps:txbx>
                      <wps:bodyPr wrap="square" rtlCol="0">
                        <a:spAutoFit/>
                      </wps:bodyPr>
                    </wps:wsp>
                  </a:graphicData>
                </a:graphic>
              </wp:anchor>
            </w:drawing>
          </mc:Choice>
          <mc:Fallback>
            <w:pict>
              <v:shape id="文本框 5" o:spid="_x0000_s1026" o:spt="202" type="#_x0000_t202" style="position:absolute;left:0pt;margin-left:-62.85pt;margin-top:122.9pt;height:163.2pt;width:539.95pt;z-index:251659264;mso-width-relative:page;mso-height-relative:page;" filled="f" stroked="f" coordsize="21600,21600" o:gfxdata="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74qH+2QAAAAwBAAAPAAAAAAAAAAEAIAAAACIAAABkcnMvZG93&#10;bnJldi54bWxQSwECFAAUAAAACACHTuJAYedM48YBAABpAwAADgAAAAAAAAABACAAAAAoAQAAZHJz&#10;L2Uyb0RvYy54bWxQSwUGAAAAAAYABgBZAQAAYAUAAAAA&#10;">
                <v:fill on="f" focussize="0,0"/>
                <v:stroke on="f"/>
                <v:imagedata o:title=""/>
                <o:lock v:ext="edit" aspectratio="f"/>
                <v:textbox style="mso-fit-shape-to-text:t;">
                  <w:txbxContent>
                    <w:p>
                      <w:pPr>
                        <w:pStyle w:val="2"/>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微软雅黑" w:hAnsi="微软雅黑" w:eastAsia="微软雅黑" w:cs="微软雅黑"/>
                          <w:b/>
                          <w:bCs/>
                          <w:color w:val="FFFFFF" w:themeColor="background1"/>
                          <w:kern w:val="24"/>
                          <w:sz w:val="72"/>
                          <w:szCs w:val="72"/>
                          <w:lang w:val="en-US" w:eastAsia="zh-CN"/>
                          <w14:textFill>
                            <w14:solidFill>
                              <w14:schemeClr w14:val="bg1"/>
                            </w14:solidFill>
                          </w14:textFill>
                        </w:rPr>
                      </w:pPr>
                      <w:r>
                        <w:rPr>
                          <w:rFonts w:hint="eastAsia" w:ascii="微软雅黑" w:hAnsi="微软雅黑" w:eastAsia="微软雅黑" w:cs="微软雅黑"/>
                          <w:b/>
                          <w:bCs/>
                          <w:color w:val="FFFFFF" w:themeColor="background1"/>
                          <w:kern w:val="24"/>
                          <w:sz w:val="72"/>
                          <w:szCs w:val="72"/>
                          <w:lang w:val="en-US" w:eastAsia="zh-CN"/>
                          <w14:textFill>
                            <w14:solidFill>
                              <w14:schemeClr w14:val="bg1"/>
                            </w14:solidFill>
                          </w14:textFill>
                        </w:rPr>
                        <w:t xml:space="preserve"> 江西省金融和重要领域</w:t>
                      </w:r>
                    </w:p>
                    <w:p>
                      <w:pPr>
                        <w:pStyle w:val="2"/>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eastAsia" w:ascii="微软雅黑" w:hAnsi="微软雅黑" w:eastAsia="微软雅黑" w:cs="微软雅黑"/>
                          <w:b/>
                          <w:bCs/>
                          <w:color w:val="FFFFFF" w:themeColor="background1"/>
                          <w:kern w:val="24"/>
                          <w:sz w:val="72"/>
                          <w:szCs w:val="72"/>
                          <w:lang w:val="en-US" w:eastAsia="zh-CN"/>
                          <w14:textFill>
                            <w14:solidFill>
                              <w14:schemeClr w14:val="bg1"/>
                            </w14:solidFill>
                          </w14:textFill>
                        </w:rPr>
                      </w:pPr>
                      <w:r>
                        <w:rPr>
                          <w:rFonts w:hint="eastAsia" w:ascii="微软雅黑" w:hAnsi="微软雅黑" w:eastAsia="微软雅黑" w:cs="微软雅黑"/>
                          <w:b/>
                          <w:bCs/>
                          <w:color w:val="FFFFFF" w:themeColor="background1"/>
                          <w:kern w:val="24"/>
                          <w:sz w:val="72"/>
                          <w:szCs w:val="72"/>
                          <w:lang w:val="en-US" w:eastAsia="zh-CN"/>
                          <w14:textFill>
                            <w14:solidFill>
                              <w14:schemeClr w14:val="bg1"/>
                            </w14:solidFill>
                          </w14:textFill>
                        </w:rPr>
                        <w:t>“十四五”规划中的密码要求</w:t>
                      </w:r>
                    </w:p>
                  </w:txbxContent>
                </v:textbox>
              </v:shape>
            </w:pict>
          </mc:Fallback>
        </mc:AlternateContent>
      </w:r>
    </w:p>
    <w:p>
      <w:pPr>
        <w:pStyle w:val="2"/>
        <w:keepNext w:val="0"/>
        <w:keepLines w:val="0"/>
        <w:widowControl/>
        <w:suppressLineNumbers w:val="0"/>
        <w:shd w:val="clear" w:fill="FFFFFF"/>
        <w:spacing w:before="0" w:beforeAutospacing="0" w:after="120" w:afterAutospacing="0" w:line="360" w:lineRule="atLeast"/>
        <w:ind w:left="0" w:right="0" w:firstLine="0"/>
        <w:jc w:val="center"/>
        <w:rPr>
          <w:rFonts w:ascii="微软雅黑" w:hAnsi="微软雅黑" w:eastAsia="微软雅黑" w:cs="微软雅黑"/>
          <w:i w:val="0"/>
          <w:iCs w:val="0"/>
          <w:caps w:val="0"/>
          <w:color w:val="666666"/>
          <w:spacing w:val="0"/>
          <w:sz w:val="36"/>
          <w:szCs w:val="36"/>
          <w:shd w:val="clear" w:fill="FFFFFF"/>
        </w:rPr>
      </w:pPr>
    </w:p>
    <w:p>
      <w:pPr>
        <w:pStyle w:val="2"/>
        <w:keepNext w:val="0"/>
        <w:keepLines w:val="0"/>
        <w:widowControl/>
        <w:suppressLineNumbers w:val="0"/>
        <w:shd w:val="clear" w:fill="FFFFFF"/>
        <w:spacing w:before="0" w:beforeAutospacing="0" w:after="120" w:afterAutospacing="0" w:line="360" w:lineRule="atLeast"/>
        <w:ind w:left="0" w:right="0" w:firstLine="0"/>
        <w:jc w:val="center"/>
        <w:rPr>
          <w:rFonts w:hint="eastAsia" w:ascii="微软雅黑" w:hAnsi="微软雅黑" w:eastAsia="微软雅黑" w:cs="微软雅黑"/>
          <w:b/>
          <w:bCs/>
          <w:i w:val="0"/>
          <w:iCs w:val="0"/>
          <w:caps w:val="0"/>
          <w:color w:val="auto"/>
          <w:spacing w:val="0"/>
          <w:sz w:val="28"/>
          <w:szCs w:val="28"/>
          <w:shd w:val="clear" w:fill="FFFFFF"/>
          <w:lang w:val="en-US" w:eastAsia="zh-CN"/>
        </w:rPr>
      </w:pPr>
      <w:r>
        <w:rPr>
          <w:rFonts w:hint="eastAsia" w:ascii="微软雅黑" w:hAnsi="微软雅黑" w:eastAsia="微软雅黑" w:cs="微软雅黑"/>
          <w:b/>
          <w:bCs/>
          <w:i w:val="0"/>
          <w:iCs w:val="0"/>
          <w:caps w:val="0"/>
          <w:color w:val="auto"/>
          <w:spacing w:val="0"/>
          <w:sz w:val="36"/>
          <w:szCs w:val="36"/>
          <w:shd w:val="clear" w:fill="FFFFFF"/>
          <w:lang w:val="en-US" w:eastAsia="zh-CN"/>
        </w:rPr>
        <w:t>前  言</w:t>
      </w:r>
    </w:p>
    <w:p>
      <w:pPr>
        <w:pStyle w:val="2"/>
        <w:keepNext w:val="0"/>
        <w:keepLines w:val="0"/>
        <w:widowControl/>
        <w:suppressLineNumbers w:val="0"/>
        <w:shd w:val="clear" w:fill="FFFFFF"/>
        <w:spacing w:before="0" w:beforeAutospacing="0" w:after="120" w:afterAutospacing="0" w:line="360" w:lineRule="atLeast"/>
        <w:ind w:left="0" w:right="0" w:firstLine="0"/>
        <w:jc w:val="center"/>
        <w:rPr>
          <w:rFonts w:hint="eastAsia" w:ascii="微软雅黑" w:hAnsi="微软雅黑" w:eastAsia="微软雅黑" w:cs="微软雅黑"/>
          <w:b/>
          <w:bCs/>
          <w:i w:val="0"/>
          <w:iCs w:val="0"/>
          <w:caps w:val="0"/>
          <w:color w:val="auto"/>
          <w:spacing w:val="0"/>
          <w:sz w:val="36"/>
          <w:szCs w:val="36"/>
          <w:shd w:val="clear" w:fill="FFFFFF"/>
          <w:lang w:val="en-US" w:eastAsia="zh-CN"/>
        </w:rPr>
      </w:pPr>
    </w:p>
    <w:p>
      <w:pPr>
        <w:pStyle w:val="2"/>
        <w:keepNext w:val="0"/>
        <w:keepLines w:val="0"/>
        <w:widowControl/>
        <w:suppressLineNumbers w:val="0"/>
        <w:shd w:val="clear" w:fill="FFFFFF"/>
        <w:spacing w:before="0" w:beforeAutospacing="0" w:after="120" w:afterAutospacing="0" w:line="360" w:lineRule="atLeast"/>
        <w:ind w:left="0" w:right="0" w:firstLine="0"/>
        <w:rPr>
          <w:rFonts w:hint="eastAsia" w:ascii="微软雅黑" w:hAnsi="微软雅黑" w:eastAsia="微软雅黑" w:cs="微软雅黑"/>
          <w:i w:val="0"/>
          <w:iCs w:val="0"/>
          <w:caps w:val="0"/>
          <w:color w:val="auto"/>
          <w:spacing w:val="0"/>
          <w:sz w:val="28"/>
          <w:szCs w:val="28"/>
        </w:rPr>
      </w:pPr>
      <w:r>
        <w:rPr>
          <w:rFonts w:hint="eastAsia" w:ascii="微软雅黑" w:hAnsi="微软雅黑" w:eastAsia="微软雅黑" w:cs="微软雅黑"/>
          <w:i w:val="0"/>
          <w:iCs w:val="0"/>
          <w:caps w:val="0"/>
          <w:color w:val="auto"/>
          <w:spacing w:val="0"/>
          <w:sz w:val="28"/>
          <w:szCs w:val="28"/>
          <w:shd w:val="clear" w:fill="FFFFFF"/>
        </w:rPr>
        <w:t>　　江西省委省政府高度重视密码工作。《江西省国民经济和社会发展第十四个五年规划和二〇三五年远景目标纲要》以及全省金融、公安、社保、交通、能源、水利、教育等领域“十四五”规划中，涉及密码应用和安全性评估等相关安全要求。密码持续渗透到我省社会生产生活各方面。</w:t>
      </w:r>
    </w:p>
    <w:p>
      <w:pPr>
        <w:pStyle w:val="2"/>
        <w:keepNext w:val="0"/>
        <w:keepLines w:val="0"/>
        <w:widowControl/>
        <w:suppressLineNumbers w:val="0"/>
        <w:shd w:val="clear" w:fill="FFFFFF"/>
        <w:spacing w:before="0" w:beforeAutospacing="0" w:after="120" w:afterAutospacing="0" w:line="360" w:lineRule="atLeast"/>
        <w:ind w:left="0" w:right="0" w:firstLine="0"/>
        <w:rPr>
          <w:rFonts w:hint="eastAsia" w:ascii="微软雅黑" w:hAnsi="微软雅黑" w:eastAsia="微软雅黑" w:cs="微软雅黑"/>
          <w:i w:val="0"/>
          <w:iCs w:val="0"/>
          <w:caps w:val="0"/>
          <w:color w:val="auto"/>
          <w:spacing w:val="0"/>
          <w:sz w:val="28"/>
          <w:szCs w:val="28"/>
          <w:lang w:eastAsia="zh-CN"/>
        </w:rPr>
      </w:pPr>
      <w:r>
        <w:rPr>
          <w:rFonts w:hint="eastAsia" w:ascii="微软雅黑" w:hAnsi="微软雅黑" w:eastAsia="微软雅黑" w:cs="微软雅黑"/>
          <w:i w:val="0"/>
          <w:iCs w:val="0"/>
          <w:caps w:val="0"/>
          <w:color w:val="auto"/>
          <w:spacing w:val="0"/>
          <w:sz w:val="28"/>
          <w:szCs w:val="28"/>
          <w:shd w:val="clear" w:fill="FFFFFF"/>
        </w:rPr>
        <w:t>　　以下为相关要求</w:t>
      </w:r>
      <w:r>
        <w:rPr>
          <w:rFonts w:hint="eastAsia" w:ascii="微软雅黑" w:hAnsi="微软雅黑" w:eastAsia="微软雅黑" w:cs="微软雅黑"/>
          <w:i w:val="0"/>
          <w:iCs w:val="0"/>
          <w:caps w:val="0"/>
          <w:color w:val="auto"/>
          <w:spacing w:val="0"/>
          <w:sz w:val="28"/>
          <w:szCs w:val="28"/>
          <w:shd w:val="clear" w:fill="FFFFFF"/>
          <w:lang w:val="en-US" w:eastAsia="zh-CN"/>
        </w:rPr>
        <w:t>摘录</w:t>
      </w:r>
      <w:r>
        <w:rPr>
          <w:rFonts w:hint="eastAsia" w:ascii="微软雅黑" w:hAnsi="微软雅黑" w:eastAsia="微软雅黑" w:cs="微软雅黑"/>
          <w:i w:val="0"/>
          <w:iCs w:val="0"/>
          <w:caps w:val="0"/>
          <w:color w:val="auto"/>
          <w:spacing w:val="0"/>
          <w:sz w:val="28"/>
          <w:szCs w:val="28"/>
          <w:shd w:val="clear" w:fill="FFFFFF"/>
        </w:rPr>
        <w:t>。整理如有错漏，请致电4009699016或在“云上密码服务”</w:t>
      </w:r>
      <w:r>
        <w:rPr>
          <w:rFonts w:hint="eastAsia" w:ascii="微软雅黑" w:hAnsi="微软雅黑" w:eastAsia="微软雅黑" w:cs="微软雅黑"/>
          <w:i w:val="0"/>
          <w:iCs w:val="0"/>
          <w:caps w:val="0"/>
          <w:color w:val="auto"/>
          <w:spacing w:val="0"/>
          <w:sz w:val="28"/>
          <w:szCs w:val="28"/>
          <w:shd w:val="clear" w:fill="FFFFFF"/>
          <w:lang w:val="en-US" w:eastAsia="zh-CN"/>
        </w:rPr>
        <w:t>微信</w:t>
      </w:r>
      <w:r>
        <w:rPr>
          <w:rFonts w:hint="eastAsia" w:ascii="微软雅黑" w:hAnsi="微软雅黑" w:eastAsia="微软雅黑" w:cs="微软雅黑"/>
          <w:i w:val="0"/>
          <w:iCs w:val="0"/>
          <w:caps w:val="0"/>
          <w:color w:val="auto"/>
          <w:spacing w:val="0"/>
          <w:sz w:val="28"/>
          <w:szCs w:val="28"/>
          <w:shd w:val="clear" w:fill="FFFFFF"/>
        </w:rPr>
        <w:t>公众号对话框中留言指正</w:t>
      </w:r>
      <w:r>
        <w:rPr>
          <w:rFonts w:hint="eastAsia" w:ascii="微软雅黑" w:hAnsi="微软雅黑" w:eastAsia="微软雅黑" w:cs="微软雅黑"/>
          <w:i w:val="0"/>
          <w:iCs w:val="0"/>
          <w:caps w:val="0"/>
          <w:color w:val="auto"/>
          <w:spacing w:val="0"/>
          <w:sz w:val="28"/>
          <w:szCs w:val="28"/>
          <w:shd w:val="clear" w:fill="FFFFFF"/>
          <w:lang w:eastAsia="zh-CN"/>
        </w:rPr>
        <w:t>。</w:t>
      </w:r>
    </w:p>
    <w:p>
      <w:pPr>
        <w:jc w:val="center"/>
        <w:rPr>
          <w:rFonts w:hint="eastAsia" w:ascii="微软雅黑" w:hAnsi="微软雅黑" w:eastAsia="微软雅黑" w:cs="微软雅黑"/>
          <w:b/>
          <w:bCs/>
          <w:i w:val="0"/>
          <w:iCs w:val="0"/>
          <w:caps w:val="0"/>
          <w:color w:val="000000"/>
          <w:spacing w:val="0"/>
          <w:sz w:val="28"/>
          <w:szCs w:val="28"/>
          <w:shd w:val="clear" w:fill="FFFFFF"/>
        </w:rPr>
      </w:pPr>
    </w:p>
    <w:p>
      <w:pPr>
        <w:jc w:val="center"/>
        <w:rPr>
          <w:rFonts w:hint="eastAsia" w:ascii="微软雅黑" w:hAnsi="微软雅黑" w:eastAsia="微软雅黑" w:cs="微软雅黑"/>
          <w:b/>
          <w:bCs/>
          <w:i w:val="0"/>
          <w:iCs w:val="0"/>
          <w:caps w:val="0"/>
          <w:color w:val="000000"/>
          <w:spacing w:val="0"/>
          <w:sz w:val="28"/>
          <w:szCs w:val="28"/>
          <w:shd w:val="clear" w:fill="FFFFFF"/>
        </w:rPr>
      </w:pPr>
    </w:p>
    <w:p>
      <w:pPr>
        <w:jc w:val="center"/>
        <w:rPr>
          <w:rFonts w:hint="eastAsia" w:ascii="微软雅黑" w:hAnsi="微软雅黑" w:eastAsia="微软雅黑" w:cs="微软雅黑"/>
          <w:b/>
          <w:bCs/>
          <w:i w:val="0"/>
          <w:iCs w:val="0"/>
          <w:caps w:val="0"/>
          <w:color w:val="000000"/>
          <w:spacing w:val="0"/>
          <w:sz w:val="28"/>
          <w:szCs w:val="28"/>
          <w:shd w:val="clear" w:fill="FFFFFF"/>
        </w:rPr>
      </w:pPr>
    </w:p>
    <w:p>
      <w:pPr>
        <w:jc w:val="center"/>
        <w:rPr>
          <w:rFonts w:hint="eastAsia" w:ascii="微软雅黑" w:hAnsi="微软雅黑" w:eastAsia="微软雅黑" w:cs="微软雅黑"/>
          <w:b/>
          <w:bCs/>
          <w:i w:val="0"/>
          <w:iCs w:val="0"/>
          <w:caps w:val="0"/>
          <w:color w:val="000000"/>
          <w:spacing w:val="0"/>
          <w:sz w:val="28"/>
          <w:szCs w:val="28"/>
          <w:shd w:val="clear" w:fill="FFFFFF"/>
        </w:rPr>
      </w:pPr>
    </w:p>
    <w:p>
      <w:pPr>
        <w:jc w:val="center"/>
        <w:rPr>
          <w:rFonts w:hint="eastAsia" w:ascii="微软雅黑" w:hAnsi="微软雅黑" w:eastAsia="微软雅黑" w:cs="微软雅黑"/>
          <w:b/>
          <w:bCs/>
          <w:i w:val="0"/>
          <w:iCs w:val="0"/>
          <w:caps w:val="0"/>
          <w:color w:val="000000"/>
          <w:spacing w:val="0"/>
          <w:sz w:val="28"/>
          <w:szCs w:val="28"/>
          <w:shd w:val="clear" w:fill="FFFFFF"/>
        </w:rPr>
      </w:pPr>
    </w:p>
    <w:p>
      <w:pPr>
        <w:jc w:val="center"/>
        <w:rPr>
          <w:rFonts w:hint="eastAsia" w:ascii="微软雅黑" w:hAnsi="微软雅黑" w:eastAsia="微软雅黑" w:cs="微软雅黑"/>
          <w:b/>
          <w:bCs/>
          <w:i w:val="0"/>
          <w:iCs w:val="0"/>
          <w:caps w:val="0"/>
          <w:color w:val="000000"/>
          <w:spacing w:val="0"/>
          <w:sz w:val="28"/>
          <w:szCs w:val="28"/>
          <w:shd w:val="clear" w:fill="FFFFFF"/>
        </w:rPr>
      </w:pPr>
    </w:p>
    <w:p>
      <w:pPr>
        <w:jc w:val="center"/>
        <w:rPr>
          <w:rFonts w:hint="eastAsia" w:ascii="微软雅黑" w:hAnsi="微软雅黑" w:eastAsia="微软雅黑" w:cs="微软雅黑"/>
          <w:b/>
          <w:bCs/>
          <w:i w:val="0"/>
          <w:iCs w:val="0"/>
          <w:caps w:val="0"/>
          <w:color w:val="000000"/>
          <w:spacing w:val="0"/>
          <w:sz w:val="28"/>
          <w:szCs w:val="28"/>
          <w:shd w:val="clear" w:fill="FFFFFF"/>
        </w:rPr>
      </w:pPr>
    </w:p>
    <w:p>
      <w:pPr>
        <w:jc w:val="center"/>
        <w:rPr>
          <w:rFonts w:hint="eastAsia" w:ascii="微软雅黑" w:hAnsi="微软雅黑" w:eastAsia="微软雅黑" w:cs="微软雅黑"/>
          <w:b/>
          <w:bCs/>
          <w:i w:val="0"/>
          <w:iCs w:val="0"/>
          <w:caps w:val="0"/>
          <w:color w:val="000000"/>
          <w:spacing w:val="0"/>
          <w:sz w:val="28"/>
          <w:szCs w:val="28"/>
          <w:shd w:val="clear" w:fill="FFFFFF"/>
        </w:rPr>
      </w:pPr>
    </w:p>
    <w:p>
      <w:pPr>
        <w:jc w:val="center"/>
        <w:rPr>
          <w:rFonts w:hint="eastAsia" w:ascii="微软雅黑" w:hAnsi="微软雅黑" w:eastAsia="微软雅黑" w:cs="微软雅黑"/>
          <w:b/>
          <w:bCs/>
          <w:i w:val="0"/>
          <w:iCs w:val="0"/>
          <w:caps w:val="0"/>
          <w:color w:val="000000"/>
          <w:spacing w:val="0"/>
          <w:sz w:val="28"/>
          <w:szCs w:val="28"/>
          <w:shd w:val="clear" w:fill="FFFFFF"/>
        </w:rPr>
      </w:pPr>
    </w:p>
    <w:p>
      <w:pPr>
        <w:jc w:val="center"/>
        <w:rPr>
          <w:rFonts w:hint="eastAsia" w:ascii="微软雅黑" w:hAnsi="微软雅黑" w:eastAsia="微软雅黑" w:cs="微软雅黑"/>
          <w:b/>
          <w:bCs/>
          <w:i w:val="0"/>
          <w:iCs w:val="0"/>
          <w:caps w:val="0"/>
          <w:color w:val="000000"/>
          <w:spacing w:val="0"/>
          <w:sz w:val="28"/>
          <w:szCs w:val="28"/>
          <w:shd w:val="clear" w:fill="FFFFFF"/>
        </w:rPr>
      </w:pPr>
    </w:p>
    <w:p>
      <w:pPr>
        <w:jc w:val="both"/>
        <w:rPr>
          <w:rFonts w:hint="eastAsia" w:ascii="微软雅黑" w:hAnsi="微软雅黑" w:eastAsia="微软雅黑" w:cs="微软雅黑"/>
          <w:b/>
          <w:bCs/>
          <w:i w:val="0"/>
          <w:iCs w:val="0"/>
          <w:caps w:val="0"/>
          <w:color w:val="000000"/>
          <w:spacing w:val="0"/>
          <w:sz w:val="28"/>
          <w:szCs w:val="28"/>
          <w:shd w:val="clear" w:fill="FFFFFF"/>
        </w:rPr>
      </w:pPr>
    </w:p>
    <w:p>
      <w:pPr>
        <w:jc w:val="center"/>
        <w:rPr>
          <w:rFonts w:hint="eastAsia" w:ascii="微软雅黑" w:hAnsi="微软雅黑" w:eastAsia="微软雅黑" w:cs="微软雅黑"/>
          <w:b/>
          <w:bCs/>
          <w:i w:val="0"/>
          <w:iCs w:val="0"/>
          <w:caps w:val="0"/>
          <w:color w:val="000000"/>
          <w:spacing w:val="0"/>
          <w:sz w:val="36"/>
          <w:szCs w:val="36"/>
          <w:shd w:val="clear" w:fill="FFFFFF"/>
        </w:rPr>
      </w:pPr>
      <w:r>
        <w:rPr>
          <w:rFonts w:hint="eastAsia" w:ascii="微软雅黑" w:hAnsi="微软雅黑" w:eastAsia="微软雅黑" w:cs="微软雅黑"/>
          <w:b/>
          <w:bCs/>
          <w:i w:val="0"/>
          <w:iCs w:val="0"/>
          <w:caps w:val="0"/>
          <w:color w:val="000000"/>
          <w:spacing w:val="0"/>
          <w:sz w:val="36"/>
          <w:szCs w:val="36"/>
          <w:shd w:val="clear" w:fill="FFFFFF"/>
        </w:rPr>
        <w:t>江西省金融和重要领域“十四五”规划中的密码要求</w:t>
      </w:r>
    </w:p>
    <w:p>
      <w:pPr>
        <w:rPr>
          <w:rFonts w:hint="eastAsia" w:ascii="微软雅黑" w:hAnsi="微软雅黑" w:eastAsia="微软雅黑" w:cs="微软雅黑"/>
          <w:b/>
          <w:bCs/>
          <w:i w:val="0"/>
          <w:iCs w:val="0"/>
          <w:caps w:val="0"/>
          <w:color w:val="000000"/>
          <w:spacing w:val="0"/>
          <w:sz w:val="28"/>
          <w:szCs w:val="28"/>
          <w:shd w:val="clear" w:fill="FFFFFF"/>
        </w:rPr>
      </w:pP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一、我省“十四五”规划和二〇三五年远景目标纲要中密码相关要求</w:t>
      </w:r>
      <w:r>
        <w:rPr>
          <w:rFonts w:hint="eastAsia" w:ascii="微软雅黑" w:hAnsi="微软雅黑" w:eastAsia="微软雅黑" w:cs="微软雅黑"/>
          <w:b/>
          <w:bCs/>
          <w:i w:val="0"/>
          <w:iCs w:val="0"/>
          <w:caps w:val="0"/>
          <w:color w:val="000000"/>
          <w:spacing w:val="0"/>
          <w:sz w:val="28"/>
          <w:szCs w:val="28"/>
          <w:shd w:val="clear" w:fill="FFFFFF"/>
          <w:lang w:val="en-US" w:eastAsia="zh-CN"/>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br w:type="textWrapping"/>
      </w:r>
      <w:r>
        <w:rPr>
          <w:rFonts w:hint="eastAsia" w:ascii="微软雅黑" w:hAnsi="微软雅黑" w:eastAsia="微软雅黑" w:cs="微软雅黑"/>
          <w:b/>
          <w:bCs/>
          <w:i w:val="0"/>
          <w:iCs w:val="0"/>
          <w:caps w:val="0"/>
          <w:color w:val="000000"/>
          <w:spacing w:val="0"/>
          <w:sz w:val="28"/>
          <w:szCs w:val="28"/>
          <w:shd w:val="clear" w:fill="FFFFFF"/>
        </w:rPr>
        <w:t>江西省人民政府关于印发江西省国民经济和社会发展第十四个五年规划和二〇三五年远景目标纲要的通知</w:t>
      </w:r>
    </w:p>
    <w:p>
      <w:pPr>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b/>
          <w:bCs/>
          <w:i w:val="0"/>
          <w:iCs w:val="0"/>
          <w:caps w:val="0"/>
          <w:color w:val="000000"/>
          <w:spacing w:val="0"/>
          <w:sz w:val="28"/>
          <w:szCs w:val="28"/>
          <w:shd w:val="clear" w:fill="FFFFFF"/>
        </w:rPr>
        <w:t>赣府发〔2021〕5号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b/>
          <w:bCs/>
          <w:i w:val="0"/>
          <w:iCs w:val="0"/>
          <w:caps w:val="0"/>
          <w:color w:val="000000"/>
          <w:spacing w:val="0"/>
          <w:sz w:val="28"/>
          <w:szCs w:val="28"/>
          <w:shd w:val="clear" w:fill="FFFFFF"/>
        </w:rPr>
        <w:t>成文日期: 2021-02-05</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坚决维护集中统一、高效权威的国家安全领导体制，健全完善贯彻落实总体国家安全观的地方工作体系和制度体系。强化“大安全”工作格局，进一步完善重点领域国家安全工作协调机制和专项工作机制。坚定维护国家政权安全、制度安全、意识形态安全，全面加强网络安全、信息安全、数据安全保障体系和能力建设。</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加快信息安全产业培育，推进赣州等地信息安全产业园建设。健全数字经济领域监管制度体系，完善网络与信息安全保障机制。</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大数据和云计算产业。加强数据采集、存储、挖掘、安全等领域关键技术攻关，形成一批有竞争力的大数据产品、解决方案和服务应用，推进大数据和云计算服务模式融合发展。</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区块链产业。推进“区块链+”工程，开展加密算法、共识机制、智能合约、多链交互等核心技术攻关，加快企业上链步伐，建设赣州区块链研究院等一批区块链公共服务平台和应用研发中心，积极推动区块链与优势特色产业融合发展。</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http://www.jiangxi.gov.cn/art/2021/3/1/art_4968_3210662.html</w:t>
      </w:r>
    </w:p>
    <w:p>
      <w:pPr>
        <w:rPr>
          <w:rFonts w:hint="default" w:ascii="微软雅黑" w:hAnsi="微软雅黑" w:eastAsia="微软雅黑" w:cs="微软雅黑"/>
          <w:b/>
          <w:bCs/>
          <w:i w:val="0"/>
          <w:iCs w:val="0"/>
          <w:caps w:val="0"/>
          <w:color w:val="000000"/>
          <w:spacing w:val="0"/>
          <w:sz w:val="28"/>
          <w:szCs w:val="28"/>
          <w:shd w:val="clear" w:fill="FFFFFF"/>
          <w:lang w:val="en-US" w:eastAsia="zh-CN"/>
        </w:rPr>
      </w:pPr>
      <w:r>
        <w:rPr>
          <w:rFonts w:hint="eastAsia" w:ascii="微软雅黑" w:hAnsi="微软雅黑" w:eastAsia="微软雅黑" w:cs="微软雅黑"/>
          <w:b/>
          <w:bCs/>
          <w:i w:val="0"/>
          <w:iCs w:val="0"/>
          <w:caps w:val="0"/>
          <w:color w:val="000000"/>
          <w:spacing w:val="0"/>
          <w:sz w:val="28"/>
          <w:szCs w:val="28"/>
          <w:shd w:val="clear" w:fill="FFFFFF"/>
          <w:lang w:val="en-US" w:eastAsia="zh-CN"/>
        </w:rPr>
        <w:t>二、我省金融领域“十四五”规划中的密码要求</w:t>
      </w:r>
      <w:r>
        <w:rPr>
          <w:rFonts w:hint="eastAsia" w:ascii="微软雅黑" w:hAnsi="微软雅黑" w:eastAsia="微软雅黑" w:cs="微软雅黑"/>
          <w:b/>
          <w:bCs/>
          <w:i w:val="0"/>
          <w:iCs w:val="0"/>
          <w:caps w:val="0"/>
          <w:color w:val="000000"/>
          <w:spacing w:val="0"/>
          <w:sz w:val="28"/>
          <w:szCs w:val="28"/>
          <w:shd w:val="clear" w:fill="FFFFFF"/>
          <w:lang w:val="en-US" w:eastAsia="zh-CN"/>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br w:type="textWrapping"/>
      </w:r>
      <w:r>
        <w:rPr>
          <w:rFonts w:hint="eastAsia" w:ascii="微软雅黑" w:hAnsi="微软雅黑" w:eastAsia="微软雅黑" w:cs="微软雅黑"/>
          <w:b/>
          <w:bCs/>
          <w:i w:val="0"/>
          <w:iCs w:val="0"/>
          <w:caps w:val="0"/>
          <w:color w:val="000000"/>
          <w:spacing w:val="0"/>
          <w:sz w:val="28"/>
          <w:szCs w:val="28"/>
          <w:shd w:val="clear" w:fill="FFFFFF"/>
        </w:rPr>
        <w:t>关于印发《江西省“十四五”金融业发展规划》的通知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赣金发〔2021〕2号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2021-11-03</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推动政务大数据在链上有序开放和共享，积极推动隐私计算技术应用确保数据安全，降低数据泄露风险。积极利用物联网技术，鼓励银行等金融机构依托区块链供应链金融平台开发“存货质押”等新型融资工具。</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"http://www.jiangxi.gov.cn/art/2021/11/10/art_14218_3714509.html"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http://www.jiangxi.gov.cn/art/2021/11/10/art_14218_3714509.html</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end"/>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三、我省重要领域“十四五”规划中的密码要求（以下按时间排序）</w:t>
      </w:r>
      <w:r>
        <w:rPr>
          <w:rFonts w:hint="eastAsia" w:ascii="微软雅黑" w:hAnsi="微软雅黑" w:eastAsia="微软雅黑" w:cs="微软雅黑"/>
          <w:b/>
          <w:bCs/>
          <w:i w:val="0"/>
          <w:iCs w:val="0"/>
          <w:caps w:val="0"/>
          <w:color w:val="000000"/>
          <w:spacing w:val="0"/>
          <w:sz w:val="28"/>
          <w:szCs w:val="28"/>
          <w:shd w:val="clear" w:fill="FFFFFF"/>
          <w:lang w:val="en-US" w:eastAsia="zh-CN"/>
        </w:rPr>
        <w:br w:type="textWrapping"/>
      </w:r>
    </w:p>
    <w:p>
      <w:pPr>
        <w:rPr>
          <w:rFonts w:hint="eastAsia" w:ascii="微软雅黑" w:hAnsi="微软雅黑" w:eastAsia="微软雅黑" w:cs="微软雅黑"/>
          <w:b/>
          <w:bCs/>
          <w:i w:val="0"/>
          <w:iCs w:val="0"/>
          <w:caps w:val="0"/>
          <w:color w:val="000000"/>
          <w:spacing w:val="0"/>
          <w:sz w:val="28"/>
          <w:szCs w:val="28"/>
          <w:shd w:val="clear" w:fill="FFFFFF"/>
        </w:rPr>
      </w:pPr>
      <w:r>
        <w:rPr>
          <w:rFonts w:hint="eastAsia" w:ascii="微软雅黑" w:hAnsi="微软雅黑" w:eastAsia="微软雅黑" w:cs="微软雅黑"/>
          <w:b/>
          <w:bCs/>
          <w:i w:val="0"/>
          <w:iCs w:val="0"/>
          <w:caps w:val="0"/>
          <w:color w:val="000000"/>
          <w:spacing w:val="0"/>
          <w:sz w:val="28"/>
          <w:szCs w:val="28"/>
          <w:shd w:val="clear" w:fill="FFFFFF"/>
        </w:rPr>
        <w:t>江西省人民政府关于印发江西省“十四五”自然资源保护和利用规划的通知</w:t>
      </w:r>
    </w:p>
    <w:p>
      <w:pPr>
        <w:rPr>
          <w:rFonts w:hint="eastAsia" w:ascii="微软雅黑" w:hAnsi="微软雅黑" w:eastAsia="微软雅黑" w:cs="微软雅黑"/>
          <w:b/>
          <w:bCs/>
          <w:i w:val="0"/>
          <w:iCs w:val="0"/>
          <w:caps w:val="0"/>
          <w:color w:val="000000"/>
          <w:spacing w:val="0"/>
          <w:sz w:val="28"/>
          <w:szCs w:val="28"/>
          <w:shd w:val="clear" w:fill="FFFFFF"/>
          <w:lang w:val="en-US" w:eastAsia="zh-CN"/>
        </w:rPr>
      </w:pPr>
      <w:r>
        <w:rPr>
          <w:rFonts w:hint="eastAsia" w:ascii="微软雅黑" w:hAnsi="微软雅黑" w:eastAsia="微软雅黑" w:cs="微软雅黑"/>
          <w:b/>
          <w:bCs/>
          <w:i w:val="0"/>
          <w:iCs w:val="0"/>
          <w:caps w:val="0"/>
          <w:color w:val="000000"/>
          <w:spacing w:val="0"/>
          <w:sz w:val="28"/>
          <w:szCs w:val="28"/>
          <w:shd w:val="clear" w:fill="FFFFFF"/>
          <w:lang w:eastAsia="zh-CN"/>
        </w:rPr>
        <w:t>赣府发〔2022〕13号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2022-06-14</w:t>
      </w:r>
    </w:p>
    <w:p>
      <w:pPr>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建立重要自然资源数据分类分级安全保护和降解密制度，形成数据脱密处理本地化能力，使数据在确保安全的前提下有序流动。</w:t>
      </w:r>
    </w:p>
    <w:p>
      <w:pPr>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"http://www.jiangxi.gov.cn/art/2022/7/5/art_4968_4017320.html"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http://www.jiangxi.gov.cn/art/2022/7/5/art_4968_4017320.html</w:t>
      </w:r>
      <w:r>
        <w:rPr>
          <w:rFonts w:hint="eastAsia" w:ascii="微软雅黑" w:hAnsi="微软雅黑" w:eastAsia="微软雅黑" w:cs="微软雅黑"/>
          <w:i w:val="0"/>
          <w:iCs w:val="0"/>
          <w:caps w:val="0"/>
          <w:color w:val="333333"/>
          <w:spacing w:val="0"/>
          <w:sz w:val="24"/>
          <w:szCs w:val="24"/>
          <w:shd w:val="clear" w:fill="FFFFFF"/>
        </w:rPr>
        <w:fldChar w:fldCharType="end"/>
      </w:r>
    </w:p>
    <w:p>
      <w:pPr>
        <w:rPr>
          <w:rFonts w:hint="eastAsia" w:ascii="微软雅黑" w:hAnsi="微软雅黑" w:eastAsia="微软雅黑" w:cs="微软雅黑"/>
          <w:b/>
          <w:bCs/>
          <w:i w:val="0"/>
          <w:iCs w:val="0"/>
          <w:caps w:val="0"/>
          <w:color w:val="000000"/>
          <w:spacing w:val="0"/>
          <w:sz w:val="28"/>
          <w:szCs w:val="28"/>
          <w:shd w:val="clear" w:fill="FFFFFF"/>
          <w:lang w:val="en-US" w:eastAsia="zh-CN"/>
        </w:rPr>
      </w:pPr>
      <w:r>
        <w:rPr>
          <w:rFonts w:hint="eastAsia" w:ascii="微软雅黑" w:hAnsi="微软雅黑" w:eastAsia="微软雅黑" w:cs="微软雅黑"/>
          <w:i w:val="0"/>
          <w:iCs w:val="0"/>
          <w:caps w:val="0"/>
          <w:color w:val="333333"/>
          <w:spacing w:val="0"/>
          <w:sz w:val="28"/>
          <w:szCs w:val="28"/>
          <w:shd w:val="clear" w:fill="FFFFFF"/>
          <w:lang w:val="en-US" w:eastAsia="zh-CN"/>
        </w:rPr>
        <w:br w:type="textWrapping"/>
      </w:r>
      <w:r>
        <w:rPr>
          <w:rFonts w:hint="eastAsia" w:ascii="微软雅黑" w:hAnsi="微软雅黑" w:eastAsia="微软雅黑" w:cs="微软雅黑"/>
          <w:b/>
          <w:bCs/>
          <w:i w:val="0"/>
          <w:iCs w:val="0"/>
          <w:caps w:val="0"/>
          <w:color w:val="000000"/>
          <w:spacing w:val="0"/>
          <w:sz w:val="28"/>
          <w:szCs w:val="28"/>
          <w:shd w:val="clear" w:fill="FFFFFF"/>
        </w:rPr>
        <w:t>江西省人民政府关于印发江西省“十四五”数字经济发展规划的通知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eastAsia="zh-CN"/>
        </w:rPr>
        <w:t>赣府发〔2022〕11号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2022-05-25</w:t>
      </w:r>
    </w:p>
    <w:p>
      <w:pPr>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加快建设先进泛在的网络基础设施。探索开展量子保密通信等未来网络设施建设。</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健全网络安全保障体系。贯彻《中华人民共和国网络安全法》《中华人民共和国密码法》，落实等级保护、安全测评、电子认证、应急管理、国产密码应用等制度。强化落实网络安全技术措施同步规划、同步建设、同步使用的要求，确保重要系统和设施安全有序运行。加强网络安全基础设施建设，加强电信、金融、能源、交通运输、水利等重要行业领域关键信息基础设施网络安全防护能力。健全网络安全保障工作体系，落实网络安全等级保护2.0、涉密网络分级保护、商用密码应用安全评估等工作。加快建设省网络安全应急指挥平台，提升网络安全监测预警、应急处置能力。加快发展网络安全产业，促进拟态防御、数据加密等网络安全技术应用。加强防范、严厉打击各类新型网络违法犯罪。</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"http://www.jiangxi.gov.cn/art/2022/6/10/art_4968_3989281.html"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http://www.jiangxi.gov.cn/art/2022/6/10/art_4968_3989281.html</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end"/>
      </w:r>
      <w:r>
        <w:rPr>
          <w:rStyle w:val="5"/>
          <w:rFonts w:hint="eastAsia" w:ascii="微软雅黑" w:hAnsi="微软雅黑" w:eastAsia="微软雅黑" w:cs="微软雅黑"/>
          <w:b/>
          <w:bCs/>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江西省人民政府办公厅关于印发江西省“十四五”能源发展规划的通知</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赣府厅发〔2022〕15号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2022-05-07</w:t>
      </w:r>
      <w:r>
        <w:rPr>
          <w:rStyle w:val="5"/>
          <w:rFonts w:hint="eastAsia" w:ascii="微软雅黑" w:hAnsi="微软雅黑" w:eastAsia="微软雅黑" w:cs="微软雅黑"/>
          <w:b/>
          <w:bCs/>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加强能源企业网络信息安全防控，推进重要信息系统国产化替代，提升网络安全自主可控水平。</w:t>
      </w:r>
      <w:r>
        <w:rPr>
          <w:rStyle w:val="5"/>
          <w:rFonts w:hint="eastAsia" w:ascii="微软雅黑" w:hAnsi="微软雅黑" w:eastAsia="微软雅黑" w:cs="微软雅黑"/>
          <w:b/>
          <w:bCs/>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加强“大云物移智链”等现代信息和通信技术在能源领域的推广利用和融合发展，提升能源系统的自动化、信息化、数字化、智能化水平，提高能源利用效率和安全运行水平。</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"http://www.jiangxi.gov.cn/art/2022/5/17/art_4968_3961051.html"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http://www.jiangxi.gov.cn/art/2022/5/17/art_4968_3961051.html</w:t>
      </w:r>
      <w:r>
        <w:rPr>
          <w:rFonts w:hint="eastAsia" w:ascii="微软雅黑" w:hAnsi="微软雅黑" w:eastAsia="微软雅黑" w:cs="微软雅黑"/>
          <w:i w:val="0"/>
          <w:iCs w:val="0"/>
          <w:caps w:val="0"/>
          <w:color w:val="333333"/>
          <w:spacing w:val="0"/>
          <w:sz w:val="24"/>
          <w:szCs w:val="24"/>
          <w:shd w:val="clear" w:fill="FFFFFF"/>
        </w:rPr>
        <w:fldChar w:fldCharType="end"/>
      </w:r>
    </w:p>
    <w:p>
      <w:pPr>
        <w:rPr>
          <w:rFonts w:hint="eastAsia" w:ascii="微软雅黑" w:hAnsi="微软雅黑" w:eastAsia="微软雅黑" w:cs="微软雅黑"/>
          <w:i w:val="0"/>
          <w:iCs w:val="0"/>
          <w:caps w:val="0"/>
          <w:color w:val="333333"/>
          <w:spacing w:val="0"/>
          <w:sz w:val="28"/>
          <w:szCs w:val="28"/>
          <w:shd w:val="clear" w:fill="FFFFFF"/>
          <w:lang w:val="en-US" w:eastAsia="zh-CN"/>
        </w:rPr>
      </w:pP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江西省人民政府关于印发江西省“十四五”教育事业发展规划的通知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赣府发〔2022〕10号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2022-04-21</w:t>
      </w:r>
    </w:p>
    <w:p>
      <w:pPr>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健全网络安全工作机制，建立网络安全实时监测和防护体系，建立健全网络安全责任制和问责机制，规范教育数据管理，加强在线教育产品和教育类APP监管，保障个人信息和重要数据安全，构建绿色上网防护体系。完善教育信息化建设和运维经费保障机制。</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"http://www.jiangxi.gov.cn/art/2022/5/10/art_4968_3951659.html"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http://www.jiangxi.gov.cn/art/2022/5/10/art_4968_3951659.html</w:t>
      </w:r>
      <w:r>
        <w:rPr>
          <w:rFonts w:hint="eastAsia" w:ascii="微软雅黑" w:hAnsi="微软雅黑" w:eastAsia="微软雅黑" w:cs="微软雅黑"/>
          <w:i w:val="0"/>
          <w:iCs w:val="0"/>
          <w:caps w:val="0"/>
          <w:color w:val="333333"/>
          <w:spacing w:val="0"/>
          <w:sz w:val="24"/>
          <w:szCs w:val="24"/>
          <w:shd w:val="clear" w:fill="FFFFFF"/>
        </w:rPr>
        <w:fldChar w:fldCharType="end"/>
      </w:r>
    </w:p>
    <w:p>
      <w:pPr>
        <w:rPr>
          <w:rFonts w:hint="eastAsia" w:ascii="微软雅黑" w:hAnsi="微软雅黑" w:eastAsia="微软雅黑" w:cs="微软雅黑"/>
          <w:i w:val="0"/>
          <w:iCs w:val="0"/>
          <w:caps w:val="0"/>
          <w:color w:val="333333"/>
          <w:spacing w:val="0"/>
          <w:sz w:val="28"/>
          <w:szCs w:val="28"/>
          <w:shd w:val="clear" w:fill="FFFFFF"/>
          <w:lang w:val="en-US" w:eastAsia="zh-CN"/>
        </w:rPr>
      </w:pPr>
      <w:r>
        <w:rPr>
          <w:rFonts w:hint="eastAsia" w:ascii="微软雅黑" w:hAnsi="微软雅黑" w:eastAsia="微软雅黑" w:cs="微软雅黑"/>
          <w:i w:val="0"/>
          <w:iCs w:val="0"/>
          <w:caps w:val="0"/>
          <w:color w:val="333333"/>
          <w:spacing w:val="0"/>
          <w:sz w:val="28"/>
          <w:szCs w:val="28"/>
          <w:shd w:val="clear" w:fill="FFFFFF"/>
          <w:lang w:val="en-US" w:eastAsia="zh-CN"/>
        </w:rPr>
        <w:br w:type="textWrapping"/>
      </w:r>
      <w:r>
        <w:rPr>
          <w:rFonts w:hint="eastAsia" w:ascii="微软雅黑" w:hAnsi="微软雅黑" w:eastAsia="微软雅黑" w:cs="微软雅黑"/>
          <w:b/>
          <w:bCs/>
          <w:i w:val="0"/>
          <w:iCs w:val="0"/>
          <w:caps w:val="0"/>
          <w:color w:val="000000"/>
          <w:spacing w:val="0"/>
          <w:sz w:val="28"/>
          <w:szCs w:val="28"/>
          <w:shd w:val="clear" w:fill="FFFFFF"/>
        </w:rPr>
        <w:t>江西省人民政府关于印发江西省“十四五”农业农村现代化规划的通知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赣府发〔2022〕1号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2022-01-26</w:t>
      </w:r>
    </w:p>
    <w:p>
      <w:pPr>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夯实农村网络设施、网络安全工作基础，保障乡村网络和信息安全。</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"http://www.jiangxi.gov.cn/art/2022/2/16/art_4968_3859650.html"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http://www.jiangxi.gov.cn/art/2022/2/16/art_4968_3859650.html</w:t>
      </w:r>
      <w:r>
        <w:rPr>
          <w:rFonts w:hint="eastAsia" w:ascii="微软雅黑" w:hAnsi="微软雅黑" w:eastAsia="微软雅黑" w:cs="微软雅黑"/>
          <w:i w:val="0"/>
          <w:iCs w:val="0"/>
          <w:caps w:val="0"/>
          <w:color w:val="333333"/>
          <w:spacing w:val="0"/>
          <w:sz w:val="24"/>
          <w:szCs w:val="24"/>
          <w:shd w:val="clear" w:fill="FFFFFF"/>
        </w:rPr>
        <w:fldChar w:fldCharType="end"/>
      </w:r>
    </w:p>
    <w:p>
      <w:pPr>
        <w:rPr>
          <w:rFonts w:hint="eastAsia" w:ascii="微软雅黑" w:hAnsi="微软雅黑" w:eastAsia="微软雅黑" w:cs="微软雅黑"/>
          <w:i w:val="0"/>
          <w:iCs w:val="0"/>
          <w:caps w:val="0"/>
          <w:color w:val="333333"/>
          <w:spacing w:val="0"/>
          <w:sz w:val="28"/>
          <w:szCs w:val="28"/>
          <w:shd w:val="clear" w:fill="FFFFFF"/>
        </w:rPr>
      </w:pPr>
    </w:p>
    <w:p>
      <w:pPr>
        <w:rPr>
          <w:rFonts w:hint="eastAsia" w:ascii="微软雅黑" w:hAnsi="微软雅黑" w:eastAsia="微软雅黑" w:cs="微软雅黑"/>
          <w:b/>
          <w:bCs/>
          <w:i w:val="0"/>
          <w:iCs w:val="0"/>
          <w:caps w:val="0"/>
          <w:color w:val="000000"/>
          <w:spacing w:val="0"/>
          <w:sz w:val="28"/>
          <w:szCs w:val="28"/>
          <w:shd w:val="clear" w:fill="FFFFFF"/>
        </w:rPr>
      </w:pPr>
      <w:r>
        <w:rPr>
          <w:rFonts w:hint="eastAsia" w:ascii="微软雅黑" w:hAnsi="微软雅黑" w:eastAsia="微软雅黑" w:cs="微软雅黑"/>
          <w:b/>
          <w:bCs/>
          <w:i w:val="0"/>
          <w:iCs w:val="0"/>
          <w:caps w:val="0"/>
          <w:color w:val="000000"/>
          <w:spacing w:val="0"/>
          <w:sz w:val="28"/>
          <w:szCs w:val="28"/>
          <w:shd w:val="clear" w:fill="FFFFFF"/>
        </w:rPr>
        <w:t>江西省人民政府办公厅关于印发江西省“十四五”就业促进规划的通知</w:t>
      </w:r>
    </w:p>
    <w:p>
      <w:pPr>
        <w:rPr>
          <w:rFonts w:hint="eastAsia" w:ascii="微软雅黑" w:hAnsi="微软雅黑" w:eastAsia="微软雅黑" w:cs="微软雅黑"/>
          <w:b/>
          <w:bCs/>
          <w:i w:val="0"/>
          <w:iCs w:val="0"/>
          <w:caps w:val="0"/>
          <w:color w:val="000000"/>
          <w:spacing w:val="0"/>
          <w:sz w:val="28"/>
          <w:szCs w:val="28"/>
          <w:shd w:val="clear" w:fill="FFFFFF"/>
          <w:lang w:val="en-US" w:eastAsia="zh-CN"/>
        </w:rPr>
      </w:pPr>
      <w:r>
        <w:rPr>
          <w:rFonts w:hint="eastAsia" w:ascii="微软雅黑" w:hAnsi="微软雅黑" w:eastAsia="微软雅黑" w:cs="微软雅黑"/>
          <w:b/>
          <w:bCs/>
          <w:i w:val="0"/>
          <w:iCs w:val="0"/>
          <w:caps w:val="0"/>
          <w:color w:val="000000"/>
          <w:spacing w:val="0"/>
          <w:sz w:val="28"/>
          <w:szCs w:val="28"/>
          <w:shd w:val="clear" w:fill="FFFFFF"/>
        </w:rPr>
        <w:t>赣府厅发〔2022〕4号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2022-01-26</w:t>
      </w:r>
    </w:p>
    <w:p>
      <w:pPr>
        <w:rPr>
          <w:rFonts w:hint="eastAsia" w:ascii="微软雅黑" w:hAnsi="微软雅黑" w:eastAsia="微软雅黑" w:cs="微软雅黑"/>
          <w:i w:val="0"/>
          <w:iCs w:val="0"/>
          <w:caps w:val="0"/>
          <w:color w:val="333333"/>
          <w:spacing w:val="0"/>
          <w:sz w:val="28"/>
          <w:szCs w:val="28"/>
          <w:shd w:val="clear" w:fill="FFFFFF"/>
          <w:lang w:val="en-US" w:eastAsia="zh-CN"/>
        </w:rPr>
      </w:pP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健全数字规则，强化数据有序共享和信息安全保护，加快推动数字产业化，抢占数字产业化发展高地。</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"http://www.jiangxi.gov.cn/art/2022/2/11/art_4968_3855557.html"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http://www.jiangxi.gov.cn/art/2022/2/11/art_4968_3855557.html</w:t>
      </w:r>
      <w:r>
        <w:rPr>
          <w:rFonts w:hint="eastAsia" w:ascii="微软雅黑" w:hAnsi="微软雅黑" w:eastAsia="微软雅黑" w:cs="微软雅黑"/>
          <w:i w:val="0"/>
          <w:iCs w:val="0"/>
          <w:caps w:val="0"/>
          <w:color w:val="333333"/>
          <w:spacing w:val="0"/>
          <w:sz w:val="24"/>
          <w:szCs w:val="24"/>
          <w:shd w:val="clear" w:fill="FFFFFF"/>
        </w:rPr>
        <w:fldChar w:fldCharType="end"/>
      </w:r>
      <w:r>
        <w:rPr>
          <w:rFonts w:hint="eastAsia" w:ascii="微软雅黑" w:hAnsi="微软雅黑" w:eastAsia="微软雅黑" w:cs="微软雅黑"/>
          <w:i w:val="0"/>
          <w:iCs w:val="0"/>
          <w:caps w:val="0"/>
          <w:color w:val="333333"/>
          <w:spacing w:val="0"/>
          <w:sz w:val="28"/>
          <w:szCs w:val="28"/>
          <w:shd w:val="clear" w:fill="FFFFFF"/>
          <w:lang w:val="en-US" w:eastAsia="zh-CN"/>
        </w:rPr>
        <w:br w:type="textWrapping"/>
      </w:r>
      <w:r>
        <w:rPr>
          <w:rFonts w:hint="eastAsia" w:ascii="微软雅黑" w:hAnsi="微软雅黑" w:eastAsia="微软雅黑" w:cs="微软雅黑"/>
          <w:b/>
          <w:bCs/>
          <w:i w:val="0"/>
          <w:iCs w:val="0"/>
          <w:caps w:val="0"/>
          <w:color w:val="000000"/>
          <w:spacing w:val="0"/>
          <w:sz w:val="28"/>
          <w:szCs w:val="28"/>
          <w:shd w:val="clear" w:fill="FFFFFF"/>
        </w:rPr>
        <w:t>江西省人民政府关于印发江西省“十四五”公共服务规划的通知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赣府发〔2021〕30号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2021-12-31</w:t>
      </w:r>
    </w:p>
    <w:p>
      <w:pPr>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加快完善实体政务服务大厅、网上办事大厅、“赣服通”等公共服务平台，持续深化民生领域场景应用，全面推行“一网通办”“一网统管”，不断促进公共服务事项办理智能化、便利化。建立健全政府及公共服务机构数据开放共享规则，推动医疗卫生、养老等公共服务领域和政府部门数据有序开放。加强公共服务数据安全保障和隐私保护。</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"http://www.jiangxi.gov.cn/art/2022/1/17/art_4968_3832697.html"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http://www.jiangxi.gov.cn/art/2022/1/17/art_4968_3832697.html</w:t>
      </w:r>
      <w:r>
        <w:rPr>
          <w:rFonts w:hint="eastAsia" w:ascii="微软雅黑" w:hAnsi="微软雅黑" w:eastAsia="微软雅黑" w:cs="微软雅黑"/>
          <w:i w:val="0"/>
          <w:iCs w:val="0"/>
          <w:caps w:val="0"/>
          <w:color w:val="333333"/>
          <w:spacing w:val="0"/>
          <w:sz w:val="24"/>
          <w:szCs w:val="24"/>
          <w:shd w:val="clear" w:fill="FFFFFF"/>
        </w:rPr>
        <w:fldChar w:fldCharType="end"/>
      </w:r>
    </w:p>
    <w:p>
      <w:pPr>
        <w:rPr>
          <w:rFonts w:hint="default" w:ascii="微软雅黑" w:hAnsi="微软雅黑" w:eastAsia="微软雅黑" w:cs="微软雅黑"/>
          <w:i w:val="0"/>
          <w:iCs w:val="0"/>
          <w:caps w:val="0"/>
          <w:color w:val="333333"/>
          <w:spacing w:val="0"/>
          <w:sz w:val="28"/>
          <w:szCs w:val="28"/>
          <w:shd w:val="clear" w:fill="FFFFFF"/>
          <w:lang w:val="en-US" w:eastAsia="zh-CN"/>
        </w:rPr>
      </w:pP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关于印发江西省“十四五”住房城乡建设发展规划的通知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赣建计〔2021〕42号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印发日期：2021-12-27</w:t>
      </w:r>
    </w:p>
    <w:p>
      <w:pPr>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加快智慧城市建设</w:t>
      </w:r>
      <w:r>
        <w:rPr>
          <w:rFonts w:hint="eastAsia" w:ascii="微软雅黑" w:hAnsi="微软雅黑" w:eastAsia="微软雅黑" w:cs="微软雅黑"/>
          <w:i w:val="0"/>
          <w:iCs w:val="0"/>
          <w:caps w:val="0"/>
          <w:color w:val="333333"/>
          <w:spacing w:val="0"/>
          <w:sz w:val="28"/>
          <w:szCs w:val="28"/>
          <w:shd w:val="clear" w:fill="FFFFFF"/>
          <w:lang w:eastAsia="zh-CN"/>
        </w:rPr>
        <w:t>。</w:t>
      </w:r>
      <w:r>
        <w:rPr>
          <w:rFonts w:hint="eastAsia" w:ascii="微软雅黑" w:hAnsi="微软雅黑" w:eastAsia="微软雅黑" w:cs="微软雅黑"/>
          <w:i w:val="0"/>
          <w:iCs w:val="0"/>
          <w:caps w:val="0"/>
          <w:color w:val="333333"/>
          <w:spacing w:val="0"/>
          <w:sz w:val="28"/>
          <w:szCs w:val="28"/>
          <w:shd w:val="clear" w:fill="FFFFFF"/>
        </w:rPr>
        <w:t>探索推进“新城建”，落地实施一批“新城建”项目，全面提升基础设施运行效率和服务能力。加快城市信息模型（CIM）基础平台建设，推进城市建设档案数字化，建设地下管网普查和数据库，构建统一的公共基础数据库。加快建立城市网格化管理平台、公共信息服务平台，推动智慧城市综合和专项规模化应用，强化城市信息资源动态更新和管理服务机制。加快实施智能化市政基础设施建设和改造行动，推动供排水、供热、燃气等市政设施智能改造升级。加快推进智慧社区建设，不断提升社区智能管理水平。到2025年，实现“城市大脑”在经济、政治、文化、社会、生态文明等领域实现全方位、全市域的综合应用，形成对城市整体状态的即时感知、全局分析和智能处置，推动公共资源高效调配、城市运行效率大幅提升。</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"http://www.jiangxi.gov.cn/art/2021/12/31/art_61150_3815720.html"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http://www.jiangxi.gov.cn/art/2021/12/31/art_61150_3815720.html</w:t>
      </w:r>
      <w:r>
        <w:rPr>
          <w:rFonts w:hint="eastAsia" w:ascii="微软雅黑" w:hAnsi="微软雅黑" w:eastAsia="微软雅黑" w:cs="微软雅黑"/>
          <w:i w:val="0"/>
          <w:iCs w:val="0"/>
          <w:caps w:val="0"/>
          <w:color w:val="333333"/>
          <w:spacing w:val="0"/>
          <w:sz w:val="24"/>
          <w:szCs w:val="24"/>
          <w:shd w:val="clear" w:fill="FFFFFF"/>
        </w:rPr>
        <w:fldChar w:fldCharType="end"/>
      </w:r>
    </w:p>
    <w:p>
      <w:pPr>
        <w:rPr>
          <w:rFonts w:hint="eastAsia" w:ascii="微软雅黑" w:hAnsi="微软雅黑" w:eastAsia="微软雅黑" w:cs="微软雅黑"/>
          <w:i w:val="0"/>
          <w:iCs w:val="0"/>
          <w:caps w:val="0"/>
          <w:color w:val="333333"/>
          <w:spacing w:val="0"/>
          <w:sz w:val="28"/>
          <w:szCs w:val="28"/>
          <w:shd w:val="clear" w:fill="FFFFFF"/>
        </w:rPr>
      </w:pPr>
    </w:p>
    <w:p>
      <w:pPr>
        <w:rPr>
          <w:rFonts w:hint="eastAsia" w:ascii="微软雅黑" w:hAnsi="微软雅黑" w:eastAsia="微软雅黑" w:cs="微软雅黑"/>
          <w:b/>
          <w:bCs/>
          <w:i w:val="0"/>
          <w:iCs w:val="0"/>
          <w:caps w:val="0"/>
          <w:color w:val="000000"/>
          <w:spacing w:val="0"/>
          <w:sz w:val="28"/>
          <w:szCs w:val="28"/>
          <w:shd w:val="clear" w:fill="FFFFFF"/>
          <w:lang w:val="en-US" w:eastAsia="zh-CN"/>
        </w:rPr>
      </w:pPr>
      <w:r>
        <w:rPr>
          <w:rFonts w:hint="eastAsia" w:ascii="微软雅黑" w:hAnsi="微软雅黑" w:eastAsia="微软雅黑" w:cs="微软雅黑"/>
          <w:b/>
          <w:bCs/>
          <w:i w:val="0"/>
          <w:iCs w:val="0"/>
          <w:caps w:val="0"/>
          <w:color w:val="000000"/>
          <w:spacing w:val="0"/>
          <w:sz w:val="28"/>
          <w:szCs w:val="28"/>
          <w:shd w:val="clear" w:fill="FFFFFF"/>
        </w:rPr>
        <w:t>江西省人民政府办公厅关于印发江西省“十四五”综合交通运输体系发展规划的通知</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赣府厅发〔2021〕44号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b/>
          <w:bCs/>
          <w:i w:val="0"/>
          <w:iCs w:val="0"/>
          <w:caps w:val="0"/>
          <w:color w:val="000000"/>
          <w:spacing w:val="0"/>
          <w:sz w:val="28"/>
          <w:szCs w:val="28"/>
          <w:shd w:val="clear" w:fill="FFFFFF"/>
        </w:rPr>
        <w:t>成文日期: 2021-12-11</w:t>
      </w:r>
    </w:p>
    <w:p>
      <w:pPr>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提升交通安全保障能力。完善安全责任体系，强化企业主体责任，明确部门监管责任。完善网络安全保障体系，增强科技兴安能力。</w:t>
      </w:r>
    </w:p>
    <w:p>
      <w:pPr>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提高交通基础设施安全水平。对接国家交通基础设施安全技术标准规范，健全交通基础设施安全保障地方标准体系。强化交通基础设施安全风险评估和分级分类管控，加强重大风险源的识别和全过程动态监测分析、预测预警。</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"http://www.jiangxi.gov.cn/art/2021/12/23/art_4968_3799438.html"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http://www.jiangxi.gov.cn/art/2021/12/23/art_4968_3799438.html</w:t>
      </w:r>
      <w:r>
        <w:rPr>
          <w:rFonts w:hint="eastAsia" w:ascii="微软雅黑" w:hAnsi="微软雅黑" w:eastAsia="微软雅黑" w:cs="微软雅黑"/>
          <w:i w:val="0"/>
          <w:iCs w:val="0"/>
          <w:caps w:val="0"/>
          <w:color w:val="333333"/>
          <w:spacing w:val="0"/>
          <w:sz w:val="24"/>
          <w:szCs w:val="24"/>
          <w:shd w:val="clear" w:fill="FFFFFF"/>
        </w:rPr>
        <w:fldChar w:fldCharType="end"/>
      </w:r>
    </w:p>
    <w:p>
      <w:pPr>
        <w:rPr>
          <w:rFonts w:hint="eastAsia" w:ascii="微软雅黑" w:hAnsi="微软雅黑" w:eastAsia="微软雅黑" w:cs="微软雅黑"/>
          <w:i w:val="0"/>
          <w:iCs w:val="0"/>
          <w:caps w:val="0"/>
          <w:color w:val="333333"/>
          <w:spacing w:val="0"/>
          <w:sz w:val="28"/>
          <w:szCs w:val="28"/>
          <w:shd w:val="clear" w:fill="FFFFFF"/>
        </w:rPr>
      </w:pPr>
    </w:p>
    <w:p>
      <w:pPr>
        <w:rPr>
          <w:rFonts w:hint="eastAsia" w:ascii="微软雅黑" w:hAnsi="微软雅黑" w:eastAsia="微软雅黑" w:cs="微软雅黑"/>
          <w:i w:val="0"/>
          <w:iCs w:val="0"/>
          <w:caps w:val="0"/>
          <w:color w:val="333333"/>
          <w:spacing w:val="0"/>
          <w:sz w:val="28"/>
          <w:szCs w:val="28"/>
          <w:shd w:val="clear" w:fill="FFFFFF"/>
          <w:lang w:val="en-US" w:eastAsia="zh-CN"/>
        </w:rPr>
      </w:pPr>
      <w:r>
        <w:rPr>
          <w:rFonts w:hint="eastAsia" w:ascii="微软雅黑" w:hAnsi="微软雅黑" w:eastAsia="微软雅黑" w:cs="微软雅黑"/>
          <w:b/>
          <w:bCs/>
          <w:i w:val="0"/>
          <w:iCs w:val="0"/>
          <w:caps w:val="0"/>
          <w:color w:val="000000"/>
          <w:spacing w:val="0"/>
          <w:sz w:val="28"/>
          <w:szCs w:val="28"/>
          <w:shd w:val="clear" w:fill="FFFFFF"/>
        </w:rPr>
        <w:t>江西省人民政府关于印发江西省“十四五”残疾人保障和发展规划的通知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赣府发〔2021〕26号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2021-11-29</w:t>
      </w:r>
    </w:p>
    <w:p>
      <w:pPr>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深化残疾人大数据管理。聚合残联各业务系统数据，完善残疾人人口基础数据，建立残疾人数据核心库。整理、分析、应用残疾人数据，提高数据质量，为残疾人事业科学决策、高效服务与精细管理提供精准化、精确化数据支撑。加快推进与行业部门数据信息共享共用进程，打通数据壁垒，持续完善传输模式，建立高效、安全的残疾人数据交换站。完善数据安全管理制度，建立数据全生命周期管理环境。</w:t>
      </w:r>
    </w:p>
    <w:p>
      <w:pPr>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"http://www.jiangxi.gov.cn/art/2021/12/10/art_4968_3777691.html"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http://www.jiangxi.gov.cn/art/2021/12/10/art_4968_3777691.html</w:t>
      </w:r>
      <w:r>
        <w:rPr>
          <w:rFonts w:hint="eastAsia" w:ascii="微软雅黑" w:hAnsi="微软雅黑" w:eastAsia="微软雅黑" w:cs="微软雅黑"/>
          <w:i w:val="0"/>
          <w:iCs w:val="0"/>
          <w:caps w:val="0"/>
          <w:color w:val="333333"/>
          <w:spacing w:val="0"/>
          <w:sz w:val="24"/>
          <w:szCs w:val="24"/>
          <w:shd w:val="clear" w:fill="FFFFFF"/>
        </w:rPr>
        <w:fldChar w:fldCharType="end"/>
      </w:r>
      <w:r>
        <w:rPr>
          <w:rFonts w:hint="eastAsia" w:ascii="微软雅黑" w:hAnsi="微软雅黑" w:eastAsia="微软雅黑" w:cs="微软雅黑"/>
          <w:i w:val="0"/>
          <w:iCs w:val="0"/>
          <w:caps w:val="0"/>
          <w:color w:val="333333"/>
          <w:spacing w:val="0"/>
          <w:sz w:val="24"/>
          <w:szCs w:val="24"/>
          <w:shd w:val="clear" w:fill="FFFFFF"/>
        </w:rPr>
        <w:br w:type="textWrapping"/>
      </w:r>
    </w:p>
    <w:p>
      <w:pPr>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b/>
          <w:bCs/>
          <w:i w:val="0"/>
          <w:iCs w:val="0"/>
          <w:caps w:val="0"/>
          <w:color w:val="000000"/>
          <w:spacing w:val="0"/>
          <w:sz w:val="28"/>
          <w:szCs w:val="28"/>
          <w:shd w:val="clear" w:fill="FFFFFF"/>
        </w:rPr>
        <w:t>江西省人民政府办公厅关于印发江西省“十四五”全民医疗保障发展规划的通知</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赣府厅发〔2021〕34号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2021-11-03</w:t>
      </w:r>
    </w:p>
    <w:p>
      <w:pPr>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持续优化全省医疗保障信息平台服务能力，加强线上线下多渠道服务结合，构建江西省医疗保障便捷可及的服务经办体系。不断完善平台支撑能力，推进全省医疗保障基础设施集约化建设，实现监督管理方式智能化转变。健全医疗保障信息安全规章制度，完善江西省医疗保障信息安全标准体系，规范数据管理和应用。依法保护参保人员基本信息和数据安全，确保医疗保障信息平台运行安全，为医疗保障高质量发展提供坚实支撑。</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http://www.jiangxi.gov.cn/art/2021/11/16/art_4968_3721035.html</w:t>
      </w:r>
    </w:p>
    <w:p>
      <w:pPr>
        <w:rPr>
          <w:rFonts w:hint="eastAsia" w:ascii="微软雅黑" w:hAnsi="微软雅黑" w:eastAsia="微软雅黑" w:cs="微软雅黑"/>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江西省人民政府办公厅关于印发江西省“十四五”新型基础设施建设规划的通知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赣府厅发〔2021〕28号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2021-10-15</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持续加强网络安全保障能力。切实强化关键信息基础设施保护力度和网络空间治理管控能力，落实网络安全等级保护制度和关键信息基础设施安全保护制度，对重要系统和数据库进行容灾备份，采用防火墙、加密认证等措施保障信息基础设施免受干扰、破坏或者未经授权的访问。</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稳步提升网络安全设施可靠性能。推动新型基础设施内嵌安全机制，通过安全芯片、安全固件、可信计算等技术，防范非授权控制或安全功能失效。建设密码保障系统并开展定期评估，强化加密技术在新型基础设施中的推广应用，扩大数字证书应用范围，重点提升网络枢纽、数据中心、骨干光缆等关键设施的安全可靠性。</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"http://www.jiangxi.gov.cn/art/2021/11/8/art_4968_3711667.html"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http://www.jiangxi.gov.cn/art/2021/11/8/art_4968_3711667.html</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end"/>
      </w:r>
    </w:p>
    <w:p>
      <w:pPr>
        <w:rPr>
          <w:rFonts w:hint="eastAsia" w:ascii="微软雅黑" w:hAnsi="微软雅黑" w:eastAsia="微软雅黑" w:cs="微软雅黑"/>
          <w:i w:val="0"/>
          <w:iCs w:val="0"/>
          <w:caps w:val="0"/>
          <w:color w:val="333333"/>
          <w:spacing w:val="0"/>
          <w:sz w:val="24"/>
          <w:szCs w:val="24"/>
          <w:shd w:val="clear" w:fill="FFFFFF"/>
          <w:lang w:val="en-US" w:eastAsia="zh-CN"/>
        </w:rPr>
      </w:pPr>
      <w:r>
        <w:rPr>
          <w:rFonts w:hint="eastAsia" w:ascii="微软雅黑" w:hAnsi="微软雅黑" w:eastAsia="微软雅黑" w:cs="微软雅黑"/>
          <w:b/>
          <w:bCs/>
          <w:i w:val="0"/>
          <w:iCs w:val="0"/>
          <w:caps w:val="0"/>
          <w:color w:val="000000"/>
          <w:spacing w:val="0"/>
          <w:sz w:val="28"/>
          <w:szCs w:val="28"/>
          <w:shd w:val="clear" w:fill="FFFFFF"/>
        </w:rPr>
        <w:t>关于印发江西省“十四五”信息化和工业化深度融合发展规划的通知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赣工信信推字〔2021〕194号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2021-09-15</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推动攻击防护、漏洞挖掘、入侵发现、态势感知、安全审计、可信芯片等安全产品应用，建立与工业互联网发展相匹配的技术保障能力。构建工业互联网设备、网络和平台的安全评估认证体系，依托第三方机构开展安全能力评估和认证。</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建立全省工业互联网数据安全管理规范，明确相关主体的数据安全保护责任和具体要求，加强数据收集、存储、处理、转移、删除等环节的安全防护能力。建立工业数据分级分类管理制度，形成工业数据流动管理机制，明确数据留存、数据泄露通报要求，加强工业数据安全监督检查。</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http://www.jiangxi.gov.cn/art/2021/9/15/art_5006_3586423.html</w:t>
      </w:r>
    </w:p>
    <w:p>
      <w:pPr>
        <w:rPr>
          <w:rFonts w:hint="eastAsia" w:ascii="微软雅黑" w:hAnsi="微软雅黑" w:eastAsia="微软雅黑" w:cs="微软雅黑"/>
          <w:i w:val="0"/>
          <w:iCs w:val="0"/>
          <w:caps w:val="0"/>
          <w:color w:val="333333"/>
          <w:spacing w:val="0"/>
          <w:sz w:val="28"/>
          <w:szCs w:val="28"/>
          <w:shd w:val="clear" w:fill="FFFFFF"/>
          <w:lang w:val="en-US" w:eastAsia="zh-CN"/>
        </w:rPr>
      </w:pPr>
      <w:r>
        <w:rPr>
          <w:rFonts w:hint="eastAsia" w:ascii="微软雅黑" w:hAnsi="微软雅黑" w:eastAsia="微软雅黑" w:cs="微软雅黑"/>
          <w:i w:val="0"/>
          <w:iCs w:val="0"/>
          <w:caps w:val="0"/>
          <w:color w:val="333333"/>
          <w:spacing w:val="0"/>
          <w:sz w:val="28"/>
          <w:szCs w:val="28"/>
          <w:shd w:val="clear" w:fill="FFFFFF"/>
          <w:lang w:val="en-US" w:eastAsia="zh-CN"/>
        </w:rPr>
        <w:br w:type="textWrapping"/>
      </w:r>
      <w:r>
        <w:rPr>
          <w:rFonts w:hint="eastAsia" w:ascii="微软雅黑" w:hAnsi="微软雅黑" w:eastAsia="微软雅黑" w:cs="微软雅黑"/>
          <w:b/>
          <w:bCs/>
          <w:i w:val="0"/>
          <w:iCs w:val="0"/>
          <w:caps w:val="0"/>
          <w:color w:val="000000"/>
          <w:spacing w:val="0"/>
          <w:sz w:val="28"/>
          <w:szCs w:val="28"/>
          <w:shd w:val="clear" w:fill="FFFFFF"/>
        </w:rPr>
        <w:t>江西省人民政府关于印发江西省“十四五”制造业高质量发展规划的通知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赣府发〔2021〕19号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2021-09-07</w:t>
      </w:r>
      <w:r>
        <w:rPr>
          <w:rFonts w:hint="eastAsia" w:ascii="微软雅黑" w:hAnsi="微软雅黑" w:eastAsia="微软雅黑" w:cs="微软雅黑"/>
          <w:i w:val="0"/>
          <w:iCs w:val="0"/>
          <w:caps w:val="0"/>
          <w:color w:val="333333"/>
          <w:spacing w:val="0"/>
          <w:sz w:val="28"/>
          <w:szCs w:val="28"/>
          <w:shd w:val="clear" w:fill="FFFFFF"/>
          <w:lang w:val="en-US" w:eastAsia="zh-CN"/>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加快发展、安全可控。处理好发展与安全的辩证关系，牢固树立总体国家安全观，推动重点产业、基础设施、战略资源、重大科技等关键领域安全可控</w:t>
      </w:r>
      <w:r>
        <w:rPr>
          <w:rFonts w:hint="eastAsia" w:ascii="微软雅黑" w:hAnsi="微软雅黑" w:eastAsia="微软雅黑" w:cs="微软雅黑"/>
          <w:i w:val="0"/>
          <w:iCs w:val="0"/>
          <w:caps w:val="0"/>
          <w:color w:val="333333"/>
          <w:spacing w:val="0"/>
          <w:sz w:val="28"/>
          <w:szCs w:val="28"/>
          <w:shd w:val="clear" w:fill="FFFFFF"/>
          <w:lang w:eastAsia="zh-CN"/>
        </w:rPr>
        <w:t>。</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"http://www.jiangxi.gov.cn/art/2021/9/10/art_4968_3579108.html"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http://www.jiangxi.gov.cn/art/2021/9/10/art_4968_3579108.html</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end"/>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江西省“十四五”药品安全及高质量发展规划</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发布时间：2021-09-08</w:t>
      </w:r>
      <w:r>
        <w:rPr>
          <w:rFonts w:hint="eastAsia" w:ascii="微软雅黑" w:hAnsi="微软雅黑" w:eastAsia="微软雅黑" w:cs="微软雅黑"/>
          <w:b/>
          <w:bCs/>
          <w:i w:val="0"/>
          <w:iCs w:val="0"/>
          <w:caps w:val="0"/>
          <w:color w:val="000000"/>
          <w:spacing w:val="0"/>
          <w:sz w:val="28"/>
          <w:szCs w:val="28"/>
          <w:shd w:val="clear" w:fill="FFFFFF"/>
          <w:lang w:val="en-US" w:eastAsia="zh-CN"/>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电子证明管理系统。推进药品审批证照管理电子化，建立健全药品注册电子通用技术文档系统和医疗器械注册电子申报信息化系统。通过证照信息数据共享、智能识别、电子证照等技术，全面实现依申请类事项一网通办、不见面审批，提升办事效率与服务水平。</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8"/>
          <w:szCs w:val="28"/>
          <w:shd w:val="clear" w:fill="FFFFFF"/>
        </w:rPr>
        <w:t>积极推动药品行业信息化管理，采用区块链等信息化技术逐步实现对全过程生产经营行为和数据实时记录。</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http://www.jiangxi.gov.cn/art/2021/9/8/art_61150_3565428.html</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sz w:val="28"/>
          <w:szCs w:val="28"/>
        </w:rPr>
        <w:br w:type="textWrapping"/>
      </w:r>
      <w:r>
        <w:rPr>
          <w:rFonts w:hint="eastAsia" w:ascii="微软雅黑" w:hAnsi="微软雅黑" w:eastAsia="微软雅黑" w:cs="微软雅黑"/>
          <w:b/>
          <w:bCs/>
          <w:i w:val="0"/>
          <w:iCs w:val="0"/>
          <w:caps w:val="0"/>
          <w:color w:val="000000"/>
          <w:spacing w:val="0"/>
          <w:sz w:val="28"/>
          <w:szCs w:val="28"/>
          <w:shd w:val="clear" w:fill="FFFFFF"/>
        </w:rPr>
        <w:t>江西省人民政府关于印发江西省“十四五”应急体系规划的通知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赣府发〔2021〕18号</w:t>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成文日期: 2021-08-25</w:t>
      </w:r>
      <w:r>
        <w:rPr>
          <w:rFonts w:hint="eastAsia" w:ascii="微软雅黑" w:hAnsi="微软雅黑" w:eastAsia="微软雅黑" w:cs="微软雅黑"/>
          <w:sz w:val="28"/>
          <w:szCs w:val="28"/>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应急管理大数据中心建设项目。升级完善应急管理综合应用平台，建设集云计算、大数据、高性能计算、智能计算于一体的高容量、多智慧的应急管理大数据中心，汇聚安全生产风险隐患、自然灾害风险普查、城市和农业农村感知、政务服务、精准执法、灾害损失、网络舆情等数据，完成数据的精细时空化建库。运用大数据分析和人工智能技术打造标签魔方、企业全息档案、应急知识图谱和事理图谱，建设应急管理算法模型工厂，为业务应用和专题建设提供统一、精确、快速的算法服务，支撑监测预警、灾害事故分析、指挥救援队伍和物资调配、指挥救援路径规划等业务场景应用。</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t>http://www.jiangxi.gov.cn/art/2021/9/8/art_4968_3564293.html</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江西省民政厅 江西省发展和改革委员会关于印发《江西省民政事业发展“十四五”规划》的通知</w:t>
      </w:r>
      <w:r>
        <w:rPr>
          <w:rFonts w:hint="eastAsia" w:ascii="微软雅黑" w:hAnsi="微软雅黑" w:eastAsia="微软雅黑" w:cs="微软雅黑"/>
          <w:b/>
          <w:bCs/>
          <w:i w:val="0"/>
          <w:iCs w:val="0"/>
          <w:caps w:val="0"/>
          <w:color w:val="000000"/>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rPr>
        <w:t>成文日期: 2021-07-1</w:t>
      </w:r>
      <w:r>
        <w:rPr>
          <w:rFonts w:hint="eastAsia" w:ascii="微软雅黑" w:hAnsi="微软雅黑" w:eastAsia="微软雅黑" w:cs="微软雅黑"/>
          <w:b/>
          <w:bCs/>
          <w:i w:val="0"/>
          <w:iCs w:val="0"/>
          <w:caps w:val="0"/>
          <w:color w:val="000000"/>
          <w:spacing w:val="0"/>
          <w:sz w:val="28"/>
          <w:szCs w:val="28"/>
          <w:shd w:val="clear" w:fill="FFFFFF"/>
          <w:lang w:val="en-US" w:eastAsia="zh-CN"/>
        </w:rPr>
        <w:t>4</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b/>
          <w:bCs/>
          <w:i w:val="0"/>
          <w:iCs w:val="0"/>
          <w:caps w:val="0"/>
          <w:color w:val="000000"/>
          <w:spacing w:val="0"/>
          <w:sz w:val="28"/>
          <w:szCs w:val="28"/>
          <w:shd w:val="clear" w:fill="FFFFFF"/>
          <w:lang w:val="en-US" w:eastAsia="zh-CN"/>
        </w:rPr>
        <w:t xml:space="preserve">· </w:t>
      </w:r>
      <w:r>
        <w:rPr>
          <w:rFonts w:hint="eastAsia" w:ascii="微软雅黑" w:hAnsi="微软雅黑" w:eastAsia="微软雅黑" w:cs="微软雅黑"/>
          <w:i w:val="0"/>
          <w:iCs w:val="0"/>
          <w:caps w:val="0"/>
          <w:color w:val="333333"/>
          <w:spacing w:val="0"/>
          <w:sz w:val="28"/>
          <w:szCs w:val="28"/>
          <w:shd w:val="clear" w:fill="FFFFFF"/>
        </w:rPr>
        <w:t>加快信息基础设施建设。依托省政务信息平台和政务外网，构建多网融合、稳定运行、安全可信的民政信息系统。加大安全可靠技术产品应用，加快民政信息基础设施高可靠、高性能、高安全、智能化升级。落实计算机信息系统等级保护制度，强化数据安全和个人信息保护，不断提高安全管理和风险防范能力。</w:t>
      </w:r>
      <w:r>
        <w:rPr>
          <w:rFonts w:hint="eastAsia" w:ascii="微软雅黑" w:hAnsi="微软雅黑" w:eastAsia="微软雅黑" w:cs="微软雅黑"/>
          <w:i w:val="0"/>
          <w:iCs w:val="0"/>
          <w:caps w:val="0"/>
          <w:color w:val="333333"/>
          <w:spacing w:val="0"/>
          <w:sz w:val="28"/>
          <w:szCs w:val="28"/>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begin"/>
      </w:r>
      <w:r>
        <w:rPr>
          <w:rFonts w:hint="eastAsia" w:ascii="微软雅黑" w:hAnsi="微软雅黑" w:eastAsia="微软雅黑" w:cs="微软雅黑"/>
          <w:i w:val="0"/>
          <w:iCs w:val="0"/>
          <w:caps w:val="0"/>
          <w:color w:val="333333"/>
          <w:spacing w:val="0"/>
          <w:sz w:val="24"/>
          <w:szCs w:val="24"/>
          <w:shd w:val="clear" w:fill="FFFFFF"/>
        </w:rPr>
        <w:instrText xml:space="preserve"> HYPERLINK "http://www.jiangxi.gov.cn/art/2021/7/16/art_61150_3590635.html" </w:instrText>
      </w:r>
      <w:r>
        <w:rPr>
          <w:rFonts w:hint="eastAsia" w:ascii="微软雅黑" w:hAnsi="微软雅黑" w:eastAsia="微软雅黑" w:cs="微软雅黑"/>
          <w:i w:val="0"/>
          <w:iCs w:val="0"/>
          <w:caps w:val="0"/>
          <w:color w:val="333333"/>
          <w:spacing w:val="0"/>
          <w:sz w:val="24"/>
          <w:szCs w:val="24"/>
          <w:shd w:val="clear" w:fill="FFFFFF"/>
        </w:rPr>
        <w:fldChar w:fldCharType="separate"/>
      </w:r>
      <w:r>
        <w:rPr>
          <w:rFonts w:hint="eastAsia" w:ascii="微软雅黑" w:hAnsi="微软雅黑" w:eastAsia="微软雅黑" w:cs="微软雅黑"/>
          <w:i w:val="0"/>
          <w:iCs w:val="0"/>
          <w:caps w:val="0"/>
          <w:color w:val="333333"/>
          <w:spacing w:val="0"/>
          <w:sz w:val="24"/>
          <w:szCs w:val="24"/>
          <w:shd w:val="clear" w:fill="FFFFFF"/>
        </w:rPr>
        <w:t>http://www.jiangxi.gov.cn/art/2021/7/16/art_61150_3590635.html</w:t>
      </w:r>
      <w:bookmarkStart w:id="0" w:name="_GoBack"/>
      <w:bookmarkEnd w:id="0"/>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i w:val="0"/>
          <w:iCs w:val="0"/>
          <w:caps w:val="0"/>
          <w:color w:val="333333"/>
          <w:spacing w:val="0"/>
          <w:sz w:val="24"/>
          <w:szCs w:val="24"/>
          <w:shd w:val="clear" w:fill="FFFFFF"/>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0MDRjMDgwNWRkYjJhMDcyZDQ2Y2M1YjVlNGVlZTQifQ=="/>
  </w:docVars>
  <w:rsids>
    <w:rsidRoot w:val="00000000"/>
    <w:rsid w:val="01483505"/>
    <w:rsid w:val="03062D2F"/>
    <w:rsid w:val="04D84D80"/>
    <w:rsid w:val="055B378D"/>
    <w:rsid w:val="072719A5"/>
    <w:rsid w:val="0A481E7F"/>
    <w:rsid w:val="0AEC3153"/>
    <w:rsid w:val="0D426552"/>
    <w:rsid w:val="12505591"/>
    <w:rsid w:val="130A36BC"/>
    <w:rsid w:val="14134B52"/>
    <w:rsid w:val="150909A7"/>
    <w:rsid w:val="157A11CD"/>
    <w:rsid w:val="16664FB7"/>
    <w:rsid w:val="174810B6"/>
    <w:rsid w:val="17E54BD0"/>
    <w:rsid w:val="19194F23"/>
    <w:rsid w:val="1FD955FC"/>
    <w:rsid w:val="225D3784"/>
    <w:rsid w:val="24AD24EC"/>
    <w:rsid w:val="25544AEA"/>
    <w:rsid w:val="26A82166"/>
    <w:rsid w:val="26DB2A07"/>
    <w:rsid w:val="279658DD"/>
    <w:rsid w:val="2B6F150A"/>
    <w:rsid w:val="2E627104"/>
    <w:rsid w:val="2F554E62"/>
    <w:rsid w:val="318A2765"/>
    <w:rsid w:val="319B66CB"/>
    <w:rsid w:val="334B5437"/>
    <w:rsid w:val="367C4ADB"/>
    <w:rsid w:val="388B19BB"/>
    <w:rsid w:val="39571455"/>
    <w:rsid w:val="3A3233E1"/>
    <w:rsid w:val="3A992F60"/>
    <w:rsid w:val="3AB504FA"/>
    <w:rsid w:val="3C6A1731"/>
    <w:rsid w:val="3CD777E0"/>
    <w:rsid w:val="3CDE6F48"/>
    <w:rsid w:val="3ED745E6"/>
    <w:rsid w:val="40902051"/>
    <w:rsid w:val="41131DA4"/>
    <w:rsid w:val="41E42F71"/>
    <w:rsid w:val="422D0A36"/>
    <w:rsid w:val="42BB0B46"/>
    <w:rsid w:val="449B1801"/>
    <w:rsid w:val="449E22D2"/>
    <w:rsid w:val="462850F4"/>
    <w:rsid w:val="463E3B5B"/>
    <w:rsid w:val="46C85FE0"/>
    <w:rsid w:val="47A36F53"/>
    <w:rsid w:val="4D821C9C"/>
    <w:rsid w:val="4F0959F9"/>
    <w:rsid w:val="50C1117F"/>
    <w:rsid w:val="51CE0565"/>
    <w:rsid w:val="51D0506A"/>
    <w:rsid w:val="530E439E"/>
    <w:rsid w:val="546E1F3C"/>
    <w:rsid w:val="55B43AB0"/>
    <w:rsid w:val="561C1DF7"/>
    <w:rsid w:val="57833AC4"/>
    <w:rsid w:val="58A318D2"/>
    <w:rsid w:val="591E43C2"/>
    <w:rsid w:val="592227B9"/>
    <w:rsid w:val="5C515F3F"/>
    <w:rsid w:val="5E652175"/>
    <w:rsid w:val="5EF23B20"/>
    <w:rsid w:val="61F61752"/>
    <w:rsid w:val="65E35E58"/>
    <w:rsid w:val="6A083CEE"/>
    <w:rsid w:val="6CCE7328"/>
    <w:rsid w:val="6CE651E0"/>
    <w:rsid w:val="6E511637"/>
    <w:rsid w:val="6F897FAA"/>
    <w:rsid w:val="6FFC7E66"/>
    <w:rsid w:val="72324E28"/>
    <w:rsid w:val="73127E18"/>
    <w:rsid w:val="77274014"/>
    <w:rsid w:val="779628B7"/>
    <w:rsid w:val="7A262361"/>
    <w:rsid w:val="7A8D4662"/>
    <w:rsid w:val="7DD0734C"/>
    <w:rsid w:val="7F354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qFormat/>
    <w:uiPriority w:val="0"/>
    <w:rPr>
      <w:color w:val="333333"/>
      <w:u w:val="none"/>
    </w:rPr>
  </w:style>
  <w:style w:type="character" w:styleId="7">
    <w:name w:val="Hyperlink"/>
    <w:basedOn w:val="4"/>
    <w:qFormat/>
    <w:uiPriority w:val="0"/>
    <w:rPr>
      <w:color w:val="333333"/>
      <w:u w:val="none"/>
    </w:rPr>
  </w:style>
  <w:style w:type="character" w:customStyle="1" w:styleId="8">
    <w:name w:val="hover"/>
    <w:basedOn w:val="4"/>
    <w:qFormat/>
    <w:uiPriority w:val="0"/>
    <w:rPr>
      <w:shd w:val="clear" w:fill="929292"/>
    </w:rPr>
  </w:style>
  <w:style w:type="character" w:customStyle="1" w:styleId="9">
    <w:name w:val="article-icon"/>
    <w:basedOn w:val="4"/>
    <w:qFormat/>
    <w:uiPriority w:val="0"/>
  </w:style>
  <w:style w:type="character" w:customStyle="1" w:styleId="10">
    <w:name w:val="hover12"/>
    <w:basedOn w:val="4"/>
    <w:qFormat/>
    <w:uiPriority w:val="0"/>
    <w:rPr>
      <w:shd w:val="clear" w:fill="929292"/>
    </w:rPr>
  </w:style>
  <w:style w:type="character" w:customStyle="1" w:styleId="11">
    <w:name w:val="hover14"/>
    <w:basedOn w:val="4"/>
    <w:qFormat/>
    <w:uiPriority w:val="0"/>
    <w:rPr>
      <w:shd w:val="clear" w:fill="92929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风深蓝色商务合同封面"/>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4483</Words>
  <Characters>5882</Characters>
  <Lines>0</Lines>
  <Paragraphs>0</Paragraphs>
  <TotalTime>74</TotalTime>
  <ScaleCrop>false</ScaleCrop>
  <LinksUpToDate>false</LinksUpToDate>
  <CharactersWithSpaces>5954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2021-06-17T05:17:00Z</dcterms:created>
  <dc:creator>3</dc:creator>
  <cp:lastModifiedBy>18566070723</cp:lastModifiedBy>
  <dcterms:modified xsi:type="dcterms:W3CDTF">2023-02-16T06:39:33Z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17C9815BF9184D22BBB1FB8AFA7EC1AA</vt:lpwstr>
  </property>
  <property fmtid="{D5CDD505-2E9C-101B-9397-08002B2CF9AE}" pid="4" name="KSOSaveFontToCloudKey">
    <vt:lpwstr>590610_btnclosed</vt:lpwstr>
  </property>
</Properties>
</file>